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6" w:lineRule="auto"/>
        <w:jc w:val="center"/>
        <w:rPr/>
      </w:pPr>
      <w:r w:rsidDel="00000000" w:rsidR="00000000" w:rsidRPr="00000000">
        <w:rPr>
          <w:rFonts w:ascii="Calibri" w:cs="Calibri" w:eastAsia="Calibri" w:hAnsi="Calibri"/>
          <w:b w:val="1"/>
          <w:bCs w:val="1"/>
          <w:i w:val="0"/>
          <w:iCs w:val="0"/>
          <w:sz w:val="40"/>
          <w:szCs w:val="40"/>
          <w:rtl w:val="0"/>
        </w:rPr>
        <w:t xml:space="preserve">Imagine, Produce, Employ, Experience: A Sinclair-Framework Case Study of Consent, Curation, and Guardrails in a </w:t>
      </w:r>
      <w:r w:rsidDel="00000000" w:rsidR="00000000" w:rsidRPr="00000000">
        <w:rPr>
          <w:b w:val="1"/>
          <w:bCs w:val="1"/>
          <w:sz w:val="40"/>
          <w:szCs w:val="40"/>
          <w:rtl w:val="0"/>
        </w:rPr>
        <w:t xml:space="preserve">Diversity-Focused</w:t>
      </w:r>
      <w:r w:rsidDel="00000000" w:rsidR="00000000" w:rsidRPr="00000000">
        <w:rPr>
          <w:rFonts w:ascii="Calibri" w:cs="Calibri" w:eastAsia="Calibri" w:hAnsi="Calibri"/>
          <w:b w:val="1"/>
          <w:bCs w:val="1"/>
          <w:i w:val="0"/>
          <w:iCs w:val="0"/>
          <w:sz w:val="40"/>
          <w:szCs w:val="40"/>
          <w:rtl w:val="0"/>
        </w:rPr>
        <w:t xml:space="preserve"> Retrieval-Augmented Generation System</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bCs w:val="1"/>
          <w:rtl w:val="0"/>
        </w:rPr>
        <w:t xml:space="preserve">Marie Martin, Ed.L. </w:t>
      </w:r>
      <w:r w:rsidDel="00000000" w:rsidR="00000000" w:rsidRPr="00000000">
        <w:rPr>
          <w:rtl w:val="0"/>
        </w:rPr>
        <w:t xml:space="preserve">Alexandria's Design, Carlsbad, California, USA</w:t>
      </w:r>
    </w:p>
    <w:p w:rsidR="00000000" w:rsidDel="00000000" w:rsidP="00000000" w:rsidRDefault="00000000" w:rsidRPr="00000000" w14:paraId="00000003">
      <w:pPr>
        <w:jc w:val="center"/>
        <w:rPr/>
      </w:pPr>
      <w:r w:rsidDel="00000000" w:rsidR="00000000" w:rsidRPr="00000000">
        <w:rPr>
          <w:b w:val="1"/>
          <w:bCs w:val="1"/>
          <w:rtl w:val="0"/>
        </w:rPr>
        <w:t xml:space="preserve">Charles Martin, Ed.D.</w:t>
      </w:r>
      <w:r w:rsidDel="00000000" w:rsidR="00000000" w:rsidRPr="00000000">
        <w:rPr>
          <w:rtl w:val="0"/>
        </w:rPr>
        <w:t xml:space="preserve"> Alexandria's Design, Carlsbad, California, USA</w:t>
      </w:r>
    </w:p>
    <w:p w:rsidR="00000000" w:rsidDel="00000000" w:rsidP="00000000" w:rsidRDefault="00000000" w:rsidRPr="00000000" w14:paraId="00000004">
      <w:pPr>
        <w:jc w:val="center"/>
        <w:rPr/>
      </w:pPr>
      <w:r w:rsidDel="00000000" w:rsidR="00000000" w:rsidRPr="00000000">
        <w:rPr>
          <w:b w:val="1"/>
          <w:bCs w:val="1"/>
          <w:rtl w:val="0"/>
        </w:rPr>
        <w:t xml:space="preserve">Carlos E. Cortés, Ph.D. </w:t>
      </w:r>
      <w:r w:rsidDel="00000000" w:rsidR="00000000" w:rsidRPr="00000000">
        <w:rPr>
          <w:rtl w:val="0"/>
        </w:rPr>
        <w:t xml:space="preserve">Department of History (Emeritus), University of California, Riverside, Riverside, California, USA</w:t>
      </w:r>
    </w:p>
    <w:p w:rsidR="00000000" w:rsidDel="00000000" w:rsidP="00000000" w:rsidRDefault="00000000" w:rsidRPr="00000000" w14:paraId="00000005">
      <w:pPr>
        <w:keepNext w:val="1"/>
        <w:spacing w:after="120" w:before="360" w:line="276" w:lineRule="auto"/>
        <w:jc w:val="center"/>
        <w:rPr/>
      </w:pPr>
      <w:r w:rsidDel="00000000" w:rsidR="00000000" w:rsidRPr="00000000">
        <w:rPr>
          <w:rFonts w:ascii="Calibri" w:cs="Calibri" w:eastAsia="Calibri" w:hAnsi="Calibri"/>
          <w:b w:val="1"/>
          <w:bCs w:val="1"/>
          <w:i w:val="0"/>
          <w:iCs w:val="0"/>
          <w:sz w:val="28"/>
          <w:szCs w:val="28"/>
          <w:rtl w:val="0"/>
        </w:rPr>
        <w:t xml:space="preserve">Abstract</w:t>
      </w:r>
      <w:r w:rsidDel="00000000" w:rsidR="00000000" w:rsidRPr="00000000">
        <w:rPr>
          <w:rtl w:val="0"/>
        </w:rPr>
      </w:r>
    </w:p>
    <w:p w:rsidR="00000000" w:rsidDel="00000000" w:rsidP="00000000" w:rsidRDefault="00000000" w:rsidRPr="00000000" w14:paraId="00000006">
      <w:pPr>
        <w:spacing w:after="120" w:line="276" w:lineRule="auto"/>
        <w:jc w:val="both"/>
        <w:rPr/>
      </w:pPr>
      <w:r w:rsidDel="00000000" w:rsidR="00000000" w:rsidRPr="00000000">
        <w:rPr>
          <w:rFonts w:ascii="Calibri" w:cs="Calibri" w:eastAsia="Calibri" w:hAnsi="Calibri"/>
          <w:b w:val="1"/>
          <w:bCs w:val="1"/>
          <w:i w:val="0"/>
          <w:iCs w:val="0"/>
          <w:sz w:val="22"/>
          <w:szCs w:val="22"/>
          <w:rtl w:val="0"/>
        </w:rPr>
        <w:t xml:space="preserve">Background.</w:t>
      </w:r>
      <w:r w:rsidDel="00000000" w:rsidR="00000000" w:rsidRPr="00000000">
        <w:rPr>
          <w:rFonts w:ascii="Calibri" w:cs="Calibri" w:eastAsia="Calibri" w:hAnsi="Calibri"/>
          <w:b w:val="0"/>
          <w:bCs w:val="0"/>
          <w:i w:val="0"/>
          <w:iCs w:val="0"/>
          <w:sz w:val="22"/>
          <w:szCs w:val="22"/>
          <w:rtl w:val="0"/>
        </w:rPr>
        <w:t xml:space="preserve"> Retrieval-augmented generation (RAG) is framed in education research as a technical remedy for hallucination in large language models. That framing treats a corpus as a neutral pipe. </w:t>
      </w:r>
      <w:r w:rsidDel="00000000" w:rsidR="00000000" w:rsidRPr="00000000">
        <w:rPr>
          <w:rtl w:val="0"/>
        </w:rPr>
        <w:t xml:space="preserve"> In diversity-related</w:t>
      </w:r>
      <w:r w:rsidDel="00000000" w:rsidR="00000000" w:rsidRPr="00000000">
        <w:rPr>
          <w:rFonts w:ascii="Calibri" w:cs="Calibri" w:eastAsia="Calibri" w:hAnsi="Calibri"/>
          <w:b w:val="0"/>
          <w:bCs w:val="0"/>
          <w:i w:val="0"/>
          <w:iCs w:val="0"/>
          <w:sz w:val="22"/>
          <w:szCs w:val="22"/>
          <w:rtl w:val="0"/>
        </w:rPr>
        <w:t xml:space="preserve"> education, corpus design is itself an ethical act. </w:t>
      </w:r>
      <w:r w:rsidDel="00000000" w:rsidR="00000000" w:rsidRPr="00000000">
        <w:rPr>
          <w:rFonts w:ascii="Calibri" w:cs="Calibri" w:eastAsia="Calibri" w:hAnsi="Calibri"/>
          <w:b w:val="1"/>
          <w:bCs w:val="1"/>
          <w:i w:val="0"/>
          <w:iCs w:val="0"/>
          <w:sz w:val="22"/>
          <w:szCs w:val="22"/>
          <w:rtl w:val="0"/>
        </w:rPr>
        <w:t xml:space="preserve">Framework.</w:t>
      </w:r>
      <w:r w:rsidDel="00000000" w:rsidR="00000000" w:rsidRPr="00000000">
        <w:rPr>
          <w:rFonts w:ascii="Calibri" w:cs="Calibri" w:eastAsia="Calibri" w:hAnsi="Calibri"/>
          <w:b w:val="0"/>
          <w:bCs w:val="0"/>
          <w:i w:val="0"/>
          <w:iCs w:val="0"/>
          <w:sz w:val="22"/>
          <w:szCs w:val="22"/>
          <w:rtl w:val="0"/>
        </w:rPr>
        <w:t xml:space="preserve"> We extend Sinclair's (1998) four-phase construct of technology-and-marginalized-communities, as operationalized by Martin (2022) for K-12 inquiry-based learning, to the design of an educational RAG system built in partnership with a living diversity scholar, Dr. Carlos E. Cortés. We read the phases of imagine, produce, employ, and experience alongside critical race theory (Crenshaw, 1989; Ladson-Billings &amp; Tate, 1995) and Cortés's (2000) societal curriculum concept. </w:t>
      </w:r>
      <w:r w:rsidDel="00000000" w:rsidR="00000000" w:rsidRPr="00000000">
        <w:rPr>
          <w:rFonts w:ascii="Calibri" w:cs="Calibri" w:eastAsia="Calibri" w:hAnsi="Calibri"/>
          <w:b w:val="1"/>
          <w:bCs w:val="1"/>
          <w:i w:val="0"/>
          <w:iCs w:val="0"/>
          <w:sz w:val="22"/>
          <w:szCs w:val="22"/>
          <w:rtl w:val="0"/>
        </w:rPr>
        <w:t xml:space="preserve">Methods.</w:t>
      </w:r>
      <w:r w:rsidDel="00000000" w:rsidR="00000000" w:rsidRPr="00000000">
        <w:rPr>
          <w:rFonts w:ascii="Calibri" w:cs="Calibri" w:eastAsia="Calibri" w:hAnsi="Calibri"/>
          <w:b w:val="0"/>
          <w:bCs w:val="0"/>
          <w:i w:val="0"/>
          <w:iCs w:val="0"/>
          <w:sz w:val="22"/>
          <w:szCs w:val="22"/>
          <w:rtl w:val="0"/>
        </w:rPr>
        <w:t xml:space="preserve"> Descriptive-analytic single-case study of the Cortés Interactive chatbot and timeline. Curated on-disk corpus assembled with the scholar's participation; local embedding-based retrieval; Google Gemini generation; voice synthesis under consent. We report the system prompt, guardrail taxonomy, and consent architecture with reproducible specificity. </w:t>
      </w:r>
      <w:r w:rsidDel="00000000" w:rsidR="00000000" w:rsidRPr="00000000">
        <w:rPr>
          <w:rFonts w:ascii="Calibri" w:cs="Calibri" w:eastAsia="Calibri" w:hAnsi="Calibri"/>
          <w:b w:val="1"/>
          <w:bCs w:val="1"/>
          <w:i w:val="0"/>
          <w:iCs w:val="0"/>
          <w:sz w:val="22"/>
          <w:szCs w:val="22"/>
          <w:rtl w:val="0"/>
        </w:rPr>
        <w:t xml:space="preserve">Findings.</w:t>
      </w:r>
      <w:r w:rsidDel="00000000" w:rsidR="00000000" w:rsidRPr="00000000">
        <w:rPr>
          <w:rFonts w:ascii="Calibri" w:cs="Calibri" w:eastAsia="Calibri" w:hAnsi="Calibri"/>
          <w:b w:val="0"/>
          <w:bCs w:val="0"/>
          <w:i w:val="0"/>
          <w:iCs w:val="0"/>
          <w:sz w:val="22"/>
          <w:szCs w:val="22"/>
          <w:rtl w:val="0"/>
        </w:rPr>
        <w:t xml:space="preserve"> Corpus design functions as curriculum. Refusal functions as a design feature rather than as a failure mode. Consent is a three-tier living practice covering voice, corpus, and representation. We present the extended Sinclair framework, a guardrail taxonomy, and the consent-tier model as contributions other teams can adapt. </w:t>
      </w:r>
      <w:r w:rsidDel="00000000" w:rsidR="00000000" w:rsidRPr="00000000">
        <w:rPr>
          <w:rFonts w:ascii="Calibri" w:cs="Calibri" w:eastAsia="Calibri" w:hAnsi="Calibri"/>
          <w:b w:val="1"/>
          <w:bCs w:val="1"/>
          <w:i w:val="0"/>
          <w:iCs w:val="0"/>
          <w:sz w:val="22"/>
          <w:szCs w:val="22"/>
          <w:rtl w:val="0"/>
        </w:rPr>
        <w:t xml:space="preserve">Implications.</w:t>
      </w:r>
      <w:r w:rsidDel="00000000" w:rsidR="00000000" w:rsidRPr="00000000">
        <w:rPr>
          <w:rFonts w:ascii="Calibri" w:cs="Calibri" w:eastAsia="Calibri" w:hAnsi="Calibri"/>
          <w:b w:val="0"/>
          <w:bCs w:val="0"/>
          <w:i w:val="0"/>
          <w:iCs w:val="0"/>
          <w:sz w:val="22"/>
          <w:szCs w:val="22"/>
          <w:rtl w:val="0"/>
        </w:rPr>
        <w:t xml:space="preserve"> Legacy RAG with a living scholar counters representational erasure in AI-mediated education, provided that the architecture </w:t>
      </w:r>
      <w:r w:rsidDel="00000000" w:rsidR="00000000" w:rsidRPr="00000000">
        <w:rPr>
          <w:rtl w:val="0"/>
        </w:rPr>
        <w:t xml:space="preserve">addresses</w:t>
      </w:r>
      <w:r w:rsidDel="00000000" w:rsidR="00000000" w:rsidRPr="00000000">
        <w:rPr>
          <w:rFonts w:ascii="Calibri" w:cs="Calibri" w:eastAsia="Calibri" w:hAnsi="Calibri"/>
          <w:b w:val="0"/>
          <w:bCs w:val="0"/>
          <w:i w:val="0"/>
          <w:iCs w:val="0"/>
          <w:sz w:val="22"/>
          <w:szCs w:val="22"/>
          <w:rtl w:val="0"/>
        </w:rPr>
        <w:t xml:space="preserve"> race, power, and refusal as first-class concerns.</w:t>
      </w:r>
      <w:r w:rsidDel="00000000" w:rsidR="00000000" w:rsidRPr="00000000">
        <w:rPr>
          <w:rtl w:val="0"/>
        </w:rPr>
      </w:r>
    </w:p>
    <w:p w:rsidR="00000000" w:rsidDel="00000000" w:rsidP="00000000" w:rsidRDefault="00000000" w:rsidRPr="00000000" w14:paraId="00000007">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Keywords:</w:t>
      </w:r>
      <w:r w:rsidDel="00000000" w:rsidR="00000000" w:rsidRPr="00000000">
        <w:rPr>
          <w:rFonts w:ascii="Calibri" w:cs="Calibri" w:eastAsia="Calibri" w:hAnsi="Calibri"/>
          <w:b w:val="0"/>
          <w:bCs w:val="0"/>
          <w:i w:val="0"/>
          <w:iCs w:val="0"/>
          <w:sz w:val="22"/>
          <w:szCs w:val="22"/>
          <w:rtl w:val="0"/>
        </w:rPr>
        <w:t xml:space="preserve"> retrieval-augmented generation; multicultural education; diversity-related education; critical race theory; consent; AI ethics; legacy RAG; Sinclair framework; guardrails</w:t>
      </w:r>
      <w:r w:rsidDel="00000000" w:rsidR="00000000" w:rsidRPr="00000000">
        <w:rPr>
          <w:rtl w:val="0"/>
        </w:rPr>
      </w:r>
    </w:p>
    <w:p w:rsidR="00000000" w:rsidDel="00000000" w:rsidP="00000000" w:rsidRDefault="00000000" w:rsidRPr="00000000" w14:paraId="00000008">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1. Introduction</w:t>
      </w:r>
      <w:r w:rsidDel="00000000" w:rsidR="00000000" w:rsidRPr="00000000">
        <w:rPr>
          <w:rtl w:val="0"/>
        </w:rPr>
      </w:r>
    </w:p>
    <w:p w:rsidR="00000000" w:rsidDel="00000000" w:rsidP="00000000" w:rsidRDefault="00000000" w:rsidRPr="00000000" w14:paraId="0000000A">
      <w:pPr>
        <w:spacing w:after="120" w:line="276" w:lineRule="auto"/>
        <w:ind w:left="0" w:right="0" w:firstLine="0"/>
        <w:jc w:val="both"/>
        <w:rPr/>
      </w:pPr>
      <w:r w:rsidDel="00000000" w:rsidR="00000000" w:rsidRPr="00000000">
        <w:rPr>
          <w:rtl w:val="0"/>
        </w:rPr>
        <w:t xml:space="preserve">A user opens a browser and types a question about identity and media into a chat window on the Carlos E. Cortés Interactive chatbot and timeline. The system does not guess. It retrieves a small set of passages from a curated corpus of the scholar's own books, essays, and talks, and either answers within those passages or declines. On many questions, such as most questions about people, current elections, or the private lives of others, the system refuses to provide answers. This refusal is by design. Rather, the system offers an alternative path grounded in what the scholar has published. The refusal is not a bug the team is chasing. It is a product.</w:t>
      </w:r>
    </w:p>
    <w:p w:rsidR="00000000" w:rsidDel="00000000" w:rsidP="00000000" w:rsidRDefault="00000000" w:rsidRPr="00000000" w14:paraId="0000000B">
      <w:pPr>
        <w:spacing w:after="120" w:line="276" w:lineRule="auto"/>
        <w:ind w:left="0" w:right="0" w:firstLine="0"/>
        <w:jc w:val="both"/>
        <w:rPr/>
      </w:pPr>
      <w:r w:rsidDel="00000000" w:rsidR="00000000" w:rsidRPr="00000000">
        <w:rPr>
          <w:rtl w:val="0"/>
        </w:rPr>
        <w:t xml:space="preserve">This paper focuses on the process of building that system. It was an intensively collaborative process involving curriculum designers Marie and Charles Martin and diversity scholar Carlos E. Cortés, Edward A. Dickson Emeritus Professor of History at the University of California, Riverside. That building process was grounded in educational research. The system is neither a deadbot nor a griefbot (Hollanek &amp; Nowaczyk-Basińska, 2024). It is what we call a legacy RAG: a retrieval-augmented generation system designed in collaboration with a living scholar whose consent is continuous and whose professional record, particularly published scholarship, provides the boundary of the machine's speech.</w:t>
      </w:r>
    </w:p>
    <w:p w:rsidR="00000000" w:rsidDel="00000000" w:rsidP="00000000" w:rsidRDefault="00000000" w:rsidRPr="00000000" w14:paraId="0000000C">
      <w:pPr>
        <w:spacing w:after="120" w:line="276" w:lineRule="auto"/>
        <w:ind w:left="0" w:right="0" w:firstLine="0"/>
        <w:jc w:val="both"/>
        <w:rPr/>
      </w:pPr>
      <w:r w:rsidDel="00000000" w:rsidR="00000000" w:rsidRPr="00000000">
        <w:rPr>
          <w:rtl w:val="0"/>
        </w:rPr>
        <w:t xml:space="preserve">Recent RAG-in-education literature addresses a narrow question: how do we reduce hallucination in educational large language model applications and ground responses in trustworthy sources (Swacha &amp; Gracel, 2025; Li et al., 2025)? This is the right question for many settings. However, there are other important questions. Consider the following.</w:t>
      </w:r>
    </w:p>
    <w:p w:rsidR="00000000" w:rsidDel="00000000" w:rsidP="00000000" w:rsidRDefault="00000000" w:rsidRPr="00000000" w14:paraId="0000000D">
      <w:pPr>
        <w:spacing w:after="120" w:line="276" w:lineRule="auto"/>
        <w:ind w:left="0" w:right="0" w:firstLine="0"/>
        <w:jc w:val="both"/>
        <w:rPr/>
      </w:pPr>
      <w:r w:rsidDel="00000000" w:rsidR="00000000" w:rsidRPr="00000000">
        <w:rPr>
          <w:rtl w:val="0"/>
        </w:rPr>
        <w:t xml:space="preserve">How do AI systems incorporate the intellectual lives of scholars who examine diversity-related topics? The stakes become higher when learners include people from communities that the scholar has spent sixty years writing about. This raises harder questions that are both curatorial and ethical. Which of the scholar's works enter the corpus? Who holds veto over new retrievals and new voice training? How does the system handle requests for opinions the scholar never wrote about? What does the system say when asked about colleagues who are still alive? How does the system deal with the fact that scholars often modify their perspectives and conclusions throughout a lifetime of study?</w:t>
      </w:r>
    </w:p>
    <w:p w:rsidR="00000000" w:rsidDel="00000000" w:rsidP="00000000" w:rsidRDefault="00000000" w:rsidRPr="00000000" w14:paraId="0000000E">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Our argument is that those questions are not add-ons. They are the design. The field needs a framework that treats corpus design, consent, and guardrail architecture as co-equal with retrieval pipelines and prompt engineering. We build that framework by extending work already done in educational research. Sinclair (1998) proposed a four-phase construct for reading any technology's impact on marginalized communities: how the technology is imagined, how human capacity is produced, how it is employed, and how it is experienced. Martin (2022) used Sinclair's phases to examine inquiry-based learning as a new technology inside a K-12 district. Here we extend the same phases, with Martin's cyclical elaboration, to the design of a diversity-related education RAG system. The phases </w:t>
      </w:r>
      <w:r w:rsidDel="00000000" w:rsidR="00000000" w:rsidRPr="00000000">
        <w:rPr>
          <w:rtl w:val="0"/>
        </w:rPr>
        <w:t xml:space="preserve">also</w:t>
      </w:r>
      <w:r w:rsidDel="00000000" w:rsidR="00000000" w:rsidRPr="00000000">
        <w:rPr>
          <w:rFonts w:ascii="Calibri" w:cs="Calibri" w:eastAsia="Calibri" w:hAnsi="Calibri"/>
          <w:b w:val="0"/>
          <w:bCs w:val="0"/>
          <w:i w:val="0"/>
          <w:iCs w:val="0"/>
          <w:sz w:val="22"/>
          <w:szCs w:val="22"/>
          <w:rtl w:val="0"/>
        </w:rPr>
        <w:t xml:space="preserve"> become a build-time discipline and an ethics checklist.</w:t>
      </w:r>
      <w:r w:rsidDel="00000000" w:rsidR="00000000" w:rsidRPr="00000000">
        <w:rPr>
          <w:rtl w:val="0"/>
        </w:rPr>
      </w:r>
    </w:p>
    <w:p w:rsidR="00000000" w:rsidDel="00000000" w:rsidP="00000000" w:rsidRDefault="00000000" w:rsidRPr="00000000" w14:paraId="0000000F">
      <w:pPr>
        <w:spacing w:after="120" w:line="276" w:lineRule="auto"/>
        <w:ind w:left="0" w:right="0" w:firstLine="0"/>
        <w:jc w:val="both"/>
        <w:rPr/>
      </w:pPr>
      <w:r w:rsidDel="00000000" w:rsidR="00000000" w:rsidRPr="00000000">
        <w:rPr>
          <w:rtl w:val="0"/>
        </w:rPr>
        <w:t xml:space="preserve">This article makes</w:t>
      </w:r>
      <w:r w:rsidDel="00000000" w:rsidR="00000000" w:rsidRPr="00000000">
        <w:rPr>
          <w:rFonts w:ascii="Calibri" w:cs="Calibri" w:eastAsia="Calibri" w:hAnsi="Calibri"/>
          <w:b w:val="0"/>
          <w:bCs w:val="0"/>
          <w:i w:val="0"/>
          <w:iCs w:val="0"/>
          <w:sz w:val="22"/>
          <w:szCs w:val="22"/>
          <w:rtl w:val="0"/>
        </w:rPr>
        <w:t xml:space="preserve"> three contributions. First, we present an extended Sinclair framework for diversity-related education AI system design, described in text and in Figure 1. Second, we present a three-tier consent model for legacy RAG (voice, corpus, representation) with veto arrangements and revisit cadences, summarized in Table 2. Third, we present a reproducible </w:t>
      </w:r>
      <w:sdt>
        <w:sdtPr>
          <w:id w:val="273532703"/>
          <w:tag w:val="goog_rdk_0"/>
        </w:sdtPr>
        <w:sdtContent>
          <w:commentRangeStart w:id="0"/>
        </w:sdtContent>
      </w:sdt>
      <w:r w:rsidDel="00000000" w:rsidR="00000000" w:rsidRPr="00000000">
        <w:rPr>
          <w:rFonts w:ascii="Calibri" w:cs="Calibri" w:eastAsia="Calibri" w:hAnsi="Calibri"/>
          <w:b w:val="0"/>
          <w:bCs w:val="0"/>
          <w:i w:val="0"/>
          <w:iCs w:val="0"/>
          <w:sz w:val="22"/>
          <w:szCs w:val="22"/>
          <w:rtl w:val="0"/>
        </w:rPr>
        <w:t xml:space="preserve">guardrail taxonom</w:t>
      </w:r>
      <w:commentRangeEnd w:id="0"/>
      <w:r w:rsidDel="00000000" w:rsidR="00000000" w:rsidRPr="00000000">
        <w:commentReference w:id="0"/>
      </w:r>
      <w:r w:rsidDel="00000000" w:rsidR="00000000" w:rsidRPr="00000000">
        <w:rPr>
          <w:rFonts w:ascii="Calibri" w:cs="Calibri" w:eastAsia="Calibri" w:hAnsi="Calibri"/>
          <w:b w:val="0"/>
          <w:bCs w:val="0"/>
          <w:i w:val="0"/>
          <w:iCs w:val="0"/>
          <w:sz w:val="22"/>
          <w:szCs w:val="22"/>
          <w:rtl w:val="0"/>
        </w:rPr>
        <w:t xml:space="preserve">y with system-prompt exemplars, summarized in Table 1, </w:t>
      </w:r>
      <w:r w:rsidDel="00000000" w:rsidR="00000000" w:rsidRPr="00000000">
        <w:rPr>
          <w:rtl w:val="0"/>
        </w:rPr>
        <w:t xml:space="preserve">which</w:t>
      </w:r>
      <w:r w:rsidDel="00000000" w:rsidR="00000000" w:rsidRPr="00000000">
        <w:rPr>
          <w:rFonts w:ascii="Calibri" w:cs="Calibri" w:eastAsia="Calibri" w:hAnsi="Calibri"/>
          <w:b w:val="0"/>
          <w:bCs w:val="0"/>
          <w:i w:val="0"/>
          <w:iCs w:val="0"/>
          <w:sz w:val="22"/>
          <w:szCs w:val="22"/>
          <w:rtl w:val="0"/>
        </w:rPr>
        <w:t xml:space="preserve"> other teams can adapt for living-scholar and cultural-heritage applications. We pair those contributions with a clear statement of limits. This is a design case study, not a user study. As a reflective self-study, it embodie</w:t>
      </w:r>
      <w:r w:rsidDel="00000000" w:rsidR="00000000" w:rsidRPr="00000000">
        <w:rPr>
          <w:rtl w:val="0"/>
        </w:rPr>
        <w:t xml:space="preserve">s</w:t>
      </w:r>
      <w:r w:rsidDel="00000000" w:rsidR="00000000" w:rsidRPr="00000000">
        <w:rPr>
          <w:rFonts w:ascii="Calibri" w:cs="Calibri" w:eastAsia="Calibri" w:hAnsi="Calibri"/>
          <w:b w:val="0"/>
          <w:bCs w:val="0"/>
          <w:i w:val="0"/>
          <w:iCs w:val="0"/>
          <w:sz w:val="22"/>
          <w:szCs w:val="22"/>
          <w:rtl w:val="0"/>
        </w:rPr>
        <w:t xml:space="preserve"> the inherent risks of that genre. The paper proceeds </w:t>
      </w:r>
      <w:r w:rsidDel="00000000" w:rsidR="00000000" w:rsidRPr="00000000">
        <w:rPr>
          <w:rtl w:val="0"/>
        </w:rPr>
        <w:t xml:space="preserve">as follows</w:t>
      </w:r>
      <w:r w:rsidDel="00000000" w:rsidR="00000000" w:rsidRPr="00000000">
        <w:rPr>
          <w:rFonts w:ascii="Calibri" w:cs="Calibri" w:eastAsia="Calibri" w:hAnsi="Calibri"/>
          <w:b w:val="0"/>
          <w:bCs w:val="0"/>
          <w:i w:val="0"/>
          <w:iCs w:val="0"/>
          <w:sz w:val="22"/>
          <w:szCs w:val="22"/>
          <w:rtl w:val="0"/>
        </w:rPr>
        <w:t xml:space="preserve">. </w:t>
      </w:r>
      <w:r w:rsidDel="00000000" w:rsidR="00000000" w:rsidRPr="00000000">
        <w:rPr>
          <w:rtl w:val="0"/>
        </w:rPr>
      </w:r>
    </w:p>
    <w:p w:rsidR="00000000" w:rsidDel="00000000" w:rsidP="00000000" w:rsidRDefault="00000000" w:rsidRPr="00000000" w14:paraId="00000010">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Section 2 lays out the conceptual framework. Section 3 reviews related work on RAG in education, digital afterlife ethics, voice-cloning consent, and AI and cultural heritage. Section 4 describes the case context and methods. Section 5 presents findings organized by Sinclair's four phases. Section 6 presents the three-tier consent model. Section 7 discusses implications for the RAG-in-education literature and for diversity-related education. Sections 8 and 9 address limitations and future work.</w:t>
      </w:r>
      <w:r w:rsidDel="00000000" w:rsidR="00000000" w:rsidRPr="00000000">
        <w:rPr>
          <w:rtl w:val="0"/>
        </w:rPr>
      </w:r>
    </w:p>
    <w:p w:rsidR="00000000" w:rsidDel="00000000" w:rsidP="00000000" w:rsidRDefault="00000000" w:rsidRPr="00000000" w14:paraId="00000011">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2. Conceptual Framework</w:t>
      </w:r>
      <w:r w:rsidDel="00000000" w:rsidR="00000000" w:rsidRPr="00000000">
        <w:rPr>
          <w:rtl w:val="0"/>
        </w:rPr>
      </w:r>
    </w:p>
    <w:p w:rsidR="00000000" w:rsidDel="00000000" w:rsidP="00000000" w:rsidRDefault="00000000" w:rsidRPr="00000000" w14:paraId="00000012">
      <w:pPr>
        <w:spacing w:after="120" w:line="276" w:lineRule="auto"/>
        <w:ind w:left="0" w:right="0" w:firstLine="0"/>
        <w:jc w:val="both"/>
        <w:rPr/>
      </w:pPr>
      <w:r w:rsidDel="00000000" w:rsidR="00000000" w:rsidRPr="00000000">
        <w:rPr>
          <w:rtl w:val="0"/>
        </w:rPr>
        <w:t xml:space="preserve">The conceptual framework for this curated avatar draws upon but goes beyond  three analytical lenses::</w:t>
      </w:r>
    </w:p>
    <w:p w:rsidR="00000000" w:rsidDel="00000000" w:rsidP="00000000" w:rsidRDefault="00000000" w:rsidRPr="00000000" w14:paraId="00000013">
      <w:pPr>
        <w:spacing w:after="120" w:line="276" w:lineRule="auto"/>
        <w:ind w:left="0" w:right="0" w:firstLine="0"/>
        <w:jc w:val="both"/>
        <w:rPr/>
      </w:pPr>
      <w:r w:rsidDel="00000000" w:rsidR="00000000" w:rsidRPr="00000000">
        <w:rPr>
          <w:rtl w:val="0"/>
        </w:rPr>
        <w:t xml:space="preserve">   ***Cortes’ concept of the societal curriculum</w:t>
      </w:r>
    </w:p>
    <w:p w:rsidR="00000000" w:rsidDel="00000000" w:rsidP="00000000" w:rsidRDefault="00000000" w:rsidRPr="00000000" w14:paraId="00000014">
      <w:pPr>
        <w:spacing w:after="120" w:line="276" w:lineRule="auto"/>
        <w:ind w:left="0" w:right="0" w:firstLine="0"/>
        <w:jc w:val="both"/>
        <w:rPr/>
      </w:pPr>
      <w:r w:rsidDel="00000000" w:rsidR="00000000" w:rsidRPr="00000000">
        <w:rPr>
          <w:rtl w:val="0"/>
        </w:rPr>
        <w:t xml:space="preserve">   ***Critical race theory</w:t>
      </w:r>
    </w:p>
    <w:p w:rsidR="00000000" w:rsidDel="00000000" w:rsidP="00000000" w:rsidRDefault="00000000" w:rsidRPr="00000000" w14:paraId="00000015">
      <w:pPr>
        <w:spacing w:after="120" w:line="276" w:lineRule="auto"/>
        <w:ind w:left="0" w:right="0" w:firstLine="0"/>
        <w:jc w:val="both"/>
        <w:rPr/>
      </w:pPr>
      <w:r w:rsidDel="00000000" w:rsidR="00000000" w:rsidRPr="00000000">
        <w:rPr>
          <w:rtl w:val="0"/>
        </w:rPr>
        <w:t xml:space="preserve">   ***Sinclair’s four-phase construct</w:t>
      </w:r>
    </w:p>
    <w:p w:rsidR="00000000" w:rsidDel="00000000" w:rsidP="00000000" w:rsidRDefault="00000000" w:rsidRPr="00000000" w14:paraId="00000016">
      <w:pPr>
        <w:spacing w:after="120" w:line="276" w:lineRule="auto"/>
        <w:ind w:left="0" w:right="0" w:firstLine="0"/>
        <w:jc w:val="both"/>
        <w:rPr/>
      </w:pPr>
      <w:r w:rsidDel="00000000" w:rsidR="00000000" w:rsidRPr="00000000">
        <w:rPr>
          <w:b w:val="1"/>
          <w:bCs w:val="1"/>
          <w:rtl w:val="0"/>
        </w:rPr>
        <w:t xml:space="preserve">Cortes’ societal curriculum framework</w:t>
      </w:r>
      <w:r w:rsidDel="00000000" w:rsidR="00000000" w:rsidRPr="00000000">
        <w:rPr>
          <w:rtl w:val="0"/>
        </w:rPr>
        <w:t xml:space="preserve">: Introduced in the late 1970’s, Cortes’ societal curriculum proposition argues that the various forces of society, from parents through communities to social organizations and including media institutions, function as a complex educational system that operates alongside what happens in schools (Cortes, 1978?)..  In some respects, this societal curriculum may actually compete with schools.  Over the decades, Cortes expanded on his concept by focusing on how the societal curriculum actually teaches about diversity, particularly through the mass media.  While people may approach the media, in some respects, as entertainment, they are inadvertently learning from that immense media curriculum.  This thinking  culminated in Cortes’ 2000 book, </w:t>
      </w:r>
      <w:r w:rsidDel="00000000" w:rsidR="00000000" w:rsidRPr="00000000">
        <w:rPr>
          <w:i w:val="1"/>
          <w:iCs w:val="1"/>
          <w:rtl w:val="0"/>
        </w:rPr>
        <w:t xml:space="preserve">The Children Are Watching: How the Media Teach about Diversity </w:t>
      </w:r>
      <w:r w:rsidDel="00000000" w:rsidR="00000000" w:rsidRPr="00000000">
        <w:rPr>
          <w:rtl w:val="0"/>
        </w:rPr>
        <w:t xml:space="preserve">(Cortes, 2000).  Enter artificial intelligence. </w:t>
      </w:r>
    </w:p>
    <w:p w:rsidR="00000000" w:rsidDel="00000000" w:rsidP="00000000" w:rsidRDefault="00000000" w:rsidRPr="00000000" w14:paraId="00000017">
      <w:pPr>
        <w:spacing w:after="120" w:line="276" w:lineRule="auto"/>
        <w:ind w:left="0" w:right="0" w:firstLine="0"/>
        <w:jc w:val="both"/>
        <w:rPr/>
      </w:pPr>
      <w:r w:rsidDel="00000000" w:rsidR="00000000" w:rsidRPr="00000000">
        <w:rPr>
          <w:rtl w:val="0"/>
        </w:rPr>
      </w:r>
    </w:p>
    <w:p w:rsidR="00000000" w:rsidDel="00000000" w:rsidP="00000000" w:rsidRDefault="00000000" w:rsidRPr="00000000" w14:paraId="00000018">
      <w:pPr>
        <w:spacing w:after="120" w:line="276" w:lineRule="auto"/>
        <w:ind w:left="0" w:right="0" w:firstLine="0"/>
        <w:jc w:val="both"/>
        <w:rPr/>
      </w:pPr>
      <w:r w:rsidDel="00000000" w:rsidR="00000000" w:rsidRPr="00000000">
        <w:rPr>
          <w:rtl w:val="0"/>
        </w:rPr>
        <w:t xml:space="preserve">When AI answers a question, it becomes part of the societal curriculum.  When an AI system answers a question, its source material, voice, and refusals influence what the user learns.  Cortes’ societal curriculum framework asks us to rethink AI from two perspectives. First, It situates AI within the concept of life itself as education rather than as lying outside of the educational process.  Second, it imposes on the design team the responsibility of thinking about every artifact of their system as part of the educational process .</w:t>
      </w:r>
      <w:r w:rsidDel="00000000" w:rsidR="00000000" w:rsidRPr="00000000">
        <w:rPr>
          <w:rtl w:val="0"/>
        </w:rPr>
      </w:r>
    </w:p>
    <w:p w:rsidR="00000000" w:rsidDel="00000000" w:rsidP="00000000" w:rsidRDefault="00000000" w:rsidRPr="00000000" w14:paraId="00000019">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Critical race theory</w:t>
      </w:r>
      <w:r w:rsidDel="00000000" w:rsidR="00000000" w:rsidRPr="00000000">
        <w:rPr>
          <w:b w:val="1"/>
          <w:bCs w:val="1"/>
          <w:rtl w:val="0"/>
        </w:rPr>
        <w:t xml:space="preserve">:</w:t>
      </w:r>
      <w:r w:rsidDel="00000000" w:rsidR="00000000" w:rsidRPr="00000000">
        <w:rPr>
          <w:rtl w:val="0"/>
        </w:rPr>
        <w:t xml:space="preserve"> CRT provides an additional lens for looking at diversity-related experiences.  Take, for example, </w:t>
      </w:r>
      <w:r w:rsidDel="00000000" w:rsidR="00000000" w:rsidRPr="00000000">
        <w:rPr>
          <w:rFonts w:ascii="Calibri" w:cs="Calibri" w:eastAsia="Calibri" w:hAnsi="Calibri"/>
          <w:b w:val="0"/>
          <w:bCs w:val="0"/>
          <w:i w:val="0"/>
          <w:iCs w:val="0"/>
          <w:sz w:val="22"/>
          <w:szCs w:val="22"/>
          <w:rtl w:val="0"/>
        </w:rPr>
        <w:t xml:space="preserve"> Crenshaw's (1989)</w:t>
      </w:r>
      <w:r w:rsidDel="00000000" w:rsidR="00000000" w:rsidRPr="00000000">
        <w:rPr>
          <w:rtl w:val="0"/>
        </w:rPr>
        <w:t xml:space="preserve"> concept of </w:t>
      </w:r>
      <w:r w:rsidDel="00000000" w:rsidR="00000000" w:rsidRPr="00000000">
        <w:rPr>
          <w:rFonts w:ascii="Calibri" w:cs="Calibri" w:eastAsia="Calibri" w:hAnsi="Calibri"/>
          <w:b w:val="0"/>
          <w:bCs w:val="0"/>
          <w:i w:val="0"/>
          <w:iCs w:val="0"/>
          <w:sz w:val="22"/>
          <w:szCs w:val="22"/>
          <w:rtl w:val="0"/>
        </w:rPr>
        <w:t xml:space="preserve">intersectionalisms and Ladson-Billings and Tate's (1995) mapping of CRT to education supply</w:t>
      </w:r>
      <w:r w:rsidDel="00000000" w:rsidR="00000000" w:rsidRPr="00000000">
        <w:rPr>
          <w:rtl w:val="0"/>
        </w:rPr>
        <w:t xml:space="preserve"> issues.  These frameworks are relevant to assessing biases inherently present in large language models.  We address these as structural conditions of many of the new technologies, not a</w:t>
      </w:r>
      <w:r w:rsidDel="00000000" w:rsidR="00000000" w:rsidRPr="00000000">
        <w:rPr>
          <w:rFonts w:ascii="Calibri" w:cs="Calibri" w:eastAsia="Calibri" w:hAnsi="Calibri"/>
          <w:b w:val="0"/>
          <w:bCs w:val="0"/>
          <w:i w:val="0"/>
          <w:iCs w:val="0"/>
          <w:sz w:val="22"/>
          <w:szCs w:val="22"/>
          <w:rtl w:val="0"/>
        </w:rPr>
        <w:t xml:space="preserve">s outside of</w:t>
      </w:r>
      <w:r w:rsidDel="00000000" w:rsidR="00000000" w:rsidRPr="00000000">
        <w:rPr>
          <w:rtl w:val="0"/>
        </w:rPr>
        <w:t xml:space="preserve"> the world of technology</w:t>
      </w:r>
      <w:r w:rsidDel="00000000" w:rsidR="00000000" w:rsidRPr="00000000">
        <w:rPr>
          <w:rFonts w:ascii="Calibri" w:cs="Calibri" w:eastAsia="Calibri" w:hAnsi="Calibri"/>
          <w:b w:val="0"/>
          <w:bCs w:val="0"/>
          <w:i w:val="0"/>
          <w:iCs w:val="0"/>
          <w:sz w:val="22"/>
          <w:szCs w:val="22"/>
          <w:rtl w:val="0"/>
        </w:rPr>
        <w:t xml:space="preserve">. In a RAG system, CRT pushes us to ask who is represented in the corpus, whose authority is centered in retrieval rankings, whose risks the guardrails prioritize, and whose refusal counts as system behavior rather than system failure. De la Peña (2010) made </w:t>
      </w:r>
      <w:r w:rsidDel="00000000" w:rsidR="00000000" w:rsidRPr="00000000">
        <w:rPr>
          <w:rtl w:val="0"/>
        </w:rPr>
        <w:t xml:space="preserve">similar observations about </w:t>
      </w:r>
      <w:r w:rsidDel="00000000" w:rsidR="00000000" w:rsidRPr="00000000">
        <w:rPr>
          <w:rFonts w:ascii="Calibri" w:cs="Calibri" w:eastAsia="Calibri" w:hAnsi="Calibri"/>
          <w:b w:val="0"/>
          <w:bCs w:val="0"/>
          <w:i w:val="0"/>
          <w:iCs w:val="0"/>
          <w:sz w:val="22"/>
          <w:szCs w:val="22"/>
          <w:rtl w:val="0"/>
        </w:rPr>
        <w:t xml:space="preserve">the history of technology itself. Our project seeks to enrich and, in some r</w:t>
      </w:r>
      <w:r w:rsidDel="00000000" w:rsidR="00000000" w:rsidRPr="00000000">
        <w:rPr>
          <w:rtl w:val="0"/>
        </w:rPr>
        <w:t xml:space="preserve">espects challenge, this hegemony by examining AI </w:t>
      </w:r>
      <w:r w:rsidDel="00000000" w:rsidR="00000000" w:rsidRPr="00000000">
        <w:rPr>
          <w:rFonts w:ascii="Calibri" w:cs="Calibri" w:eastAsia="Calibri" w:hAnsi="Calibri"/>
          <w:b w:val="0"/>
          <w:bCs w:val="0"/>
          <w:i w:val="0"/>
          <w:iCs w:val="0"/>
          <w:sz w:val="22"/>
          <w:szCs w:val="22"/>
          <w:rtl w:val="0"/>
        </w:rPr>
        <w:t xml:space="preserve">at the scale of a single scholar's legacy.</w:t>
      </w:r>
      <w:r w:rsidDel="00000000" w:rsidR="00000000" w:rsidRPr="00000000">
        <w:rPr>
          <w:rtl w:val="0"/>
        </w:rPr>
      </w:r>
    </w:p>
    <w:p w:rsidR="00000000" w:rsidDel="00000000" w:rsidP="00000000" w:rsidRDefault="00000000" w:rsidRPr="00000000" w14:paraId="0000001A">
      <w:pPr>
        <w:spacing w:after="120" w:line="276" w:lineRule="auto"/>
        <w:ind w:left="0" w:right="0" w:firstLine="0"/>
        <w:jc w:val="both"/>
        <w:rPr/>
      </w:pPr>
      <w:r w:rsidDel="00000000" w:rsidR="00000000" w:rsidRPr="00000000">
        <w:rPr>
          <w:b w:val="1"/>
          <w:bCs w:val="1"/>
          <w:rtl w:val="0"/>
        </w:rPr>
        <w:t xml:space="preserve">Sinclair’s four-phase construct: </w:t>
      </w:r>
      <w:r w:rsidDel="00000000" w:rsidR="00000000" w:rsidRPr="00000000">
        <w:rPr>
          <w:rtl w:val="0"/>
        </w:rPr>
        <w:t xml:space="preserve">Sinclair (1998) offered teachers a way to examine any t</w:t>
      </w:r>
      <w:sdt>
        <w:sdtPr>
          <w:id w:val="1847485723"/>
          <w:tag w:val="goog_rdk_1"/>
        </w:sdtPr>
        <w:sdtContent>
          <w:commentRangeStart w:id="1"/>
        </w:sdtContent>
      </w:sdt>
      <w:r w:rsidDel="00000000" w:rsidR="00000000" w:rsidRPr="00000000">
        <w:rPr>
          <w:rtl w:val="0"/>
        </w:rPr>
        <w:t xml:space="preserve">echnol</w:t>
      </w:r>
      <w:commentRangeEnd w:id="1"/>
      <w:r w:rsidDel="00000000" w:rsidR="00000000" w:rsidRPr="00000000">
        <w:commentReference w:id="1"/>
      </w:r>
      <w:r w:rsidDel="00000000" w:rsidR="00000000" w:rsidRPr="00000000">
        <w:rPr>
          <w:rtl w:val="0"/>
        </w:rPr>
        <w:t xml:space="preserve">ogy by moving through four phases: the phase in which the technology is imagined, the phase in which human capacity is produced, the phase in which the technology is employed, and the phase in which it is experienced, particularly by people on the margins. Sinclair's phases are deceptively simple. Their power is that each phase invites a different set of questions and a different set of stakeholders. Imagine asks who was in the room. Produc</w:t>
      </w:r>
      <w:sdt>
        <w:sdtPr>
          <w:id w:val="-854938136"/>
          <w:tag w:val="goog_rdk_2"/>
        </w:sdtPr>
        <w:sdtContent>
          <w:commentRangeStart w:id="2"/>
        </w:sdtContent>
      </w:sdt>
      <w:r w:rsidDel="00000000" w:rsidR="00000000" w:rsidRPr="00000000">
        <w:rPr>
          <w:rtl w:val="0"/>
        </w:rPr>
        <w:t xml:space="preserve">e </w:t>
      </w:r>
      <w:commentRangeEnd w:id="2"/>
      <w:r w:rsidDel="00000000" w:rsidR="00000000" w:rsidRPr="00000000">
        <w:commentReference w:id="2"/>
      </w:r>
      <w:r w:rsidDel="00000000" w:rsidR="00000000" w:rsidRPr="00000000">
        <w:rPr>
          <w:rtl w:val="0"/>
        </w:rPr>
        <w:t xml:space="preserve">asks who built the capacity. Employ asks who gets access and on what terms. Experience asks what life looks like for the people on the receiving end. The phases also resist the standard innovation-is-neutral story by insisting that technology is a social process at every step.</w:t>
      </w:r>
    </w:p>
    <w:p w:rsidR="00000000" w:rsidDel="00000000" w:rsidP="00000000" w:rsidRDefault="00000000" w:rsidRPr="00000000" w14:paraId="0000001B">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Trotter (2000) extended Sinclair's frame by arguing that technology should be read broadly as any new product or process. Dr. Marie Martin's doctoral work (Martin, 2022) took Trotter at his word and treated inquiry-based learning pedagogy as a new technology inside a school district, then ran it through Sinclair's four phases. She extended the model in three ways. She arranged the phases as a cycle rather than a line, driven by moral purpose at the center. She added collective psychological ownership and shared-vision theory as production-phase machinery. She made CRT the ambient lens, not a one-section genuflection. The resulting framework is a working K-12 district's change model, tested in a single case but conceptually portable.</w:t>
      </w:r>
      <w:r w:rsidDel="00000000" w:rsidR="00000000" w:rsidRPr="00000000">
        <w:rPr>
          <w:rtl w:val="0"/>
        </w:rPr>
      </w:r>
    </w:p>
    <w:p w:rsidR="00000000" w:rsidDel="00000000" w:rsidP="00000000" w:rsidRDefault="00000000" w:rsidRPr="00000000" w14:paraId="0000001C">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We extend the Sinclair frame for AI system design by doing three things. First, we apply Sinclair's phases to the full stack: corpus, retrieval, generation, voice, interface, deployment, maintenance. Second, we add a consent layer that runs through every phase and that has its own three-tier structure (voice, corpus, representation). Third, we keep Martin's cyclical drive of moral purpose and add a CRT audit at each phase, asking at every gate who is represented, who is refused, and whose refusal the system honors.</w:t>
      </w:r>
      <w:r w:rsidDel="00000000" w:rsidR="00000000" w:rsidRPr="00000000">
        <w:rPr>
          <w:rtl w:val="0"/>
        </w:rPr>
      </w:r>
    </w:p>
    <w:p w:rsidR="00000000" w:rsidDel="00000000" w:rsidP="00000000" w:rsidRDefault="00000000" w:rsidRPr="00000000" w14:paraId="0000001D">
      <w:pPr>
        <w:keepNext w:val="1"/>
        <w:spacing w:after="40" w:before="120" w:lineRule="auto"/>
        <w:jc w:val="center"/>
        <w:rPr/>
      </w:pPr>
      <w:r w:rsidDel="00000000" w:rsidR="00000000" w:rsidRPr="00000000">
        <w:rPr/>
        <w:drawing>
          <wp:inline distB="0" distT="0" distL="114300" distR="114300">
            <wp:extent cx="5486400" cy="36576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before="0" w:line="276" w:lineRule="auto"/>
        <w:jc w:val="center"/>
        <w:rPr/>
      </w:pPr>
      <w:r w:rsidDel="00000000" w:rsidR="00000000" w:rsidRPr="00000000">
        <w:rPr>
          <w:rFonts w:ascii="Calibri" w:cs="Calibri" w:eastAsia="Calibri" w:hAnsi="Calibri"/>
          <w:b w:val="1"/>
          <w:bCs w:val="1"/>
          <w:i w:val="0"/>
          <w:iCs w:val="0"/>
          <w:sz w:val="20"/>
          <w:szCs w:val="20"/>
          <w:rtl w:val="0"/>
        </w:rPr>
        <w:t xml:space="preserve">Figure 1. Extended Sinclair Framework for Diversity-Related Education RAG.</w:t>
      </w:r>
      <w:r w:rsidDel="00000000" w:rsidR="00000000" w:rsidRPr="00000000">
        <w:rPr>
          <w:rFonts w:ascii="Calibri" w:cs="Calibri" w:eastAsia="Calibri" w:hAnsi="Calibri"/>
          <w:b w:val="0"/>
          <w:bCs w:val="0"/>
          <w:i w:val="0"/>
          <w:iCs w:val="0"/>
          <w:sz w:val="20"/>
          <w:szCs w:val="20"/>
          <w:rtl w:val="0"/>
        </w:rPr>
        <w:t xml:space="preserve"> Four phases are arranged cyclically around a central axis of moral purpose. The outer ring marks the CRT audit questions at each phase. The inner spokes show consent tiers crossing each phase. Each phase is annotated with the build-time deliverables it produces.</w:t>
      </w:r>
      <w:r w:rsidDel="00000000" w:rsidR="00000000" w:rsidRPr="00000000">
        <w:rPr>
          <w:rtl w:val="0"/>
        </w:rPr>
      </w:r>
    </w:p>
    <w:p w:rsidR="00000000" w:rsidDel="00000000" w:rsidP="00000000" w:rsidRDefault="00000000" w:rsidRPr="00000000" w14:paraId="0000001F">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framework treats ethics as an operating discipline, not a conclusion section. The next section maps the work it has to do against the literature it has to converse with.</w:t>
      </w:r>
      <w:r w:rsidDel="00000000" w:rsidR="00000000" w:rsidRPr="00000000">
        <w:rPr>
          <w:rtl w:val="0"/>
        </w:rPr>
      </w:r>
    </w:p>
    <w:p w:rsidR="00000000" w:rsidDel="00000000" w:rsidP="00000000" w:rsidRDefault="00000000" w:rsidRPr="00000000" w14:paraId="00000020">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3. Related Work</w:t>
      </w:r>
      <w:r w:rsidDel="00000000" w:rsidR="00000000" w:rsidRPr="00000000">
        <w:rPr>
          <w:rtl w:val="0"/>
        </w:rPr>
      </w:r>
    </w:p>
    <w:p w:rsidR="00000000" w:rsidDel="00000000" w:rsidP="00000000" w:rsidRDefault="00000000" w:rsidRPr="00000000" w14:paraId="00000021">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RAG in education.</w:t>
      </w:r>
      <w:r w:rsidDel="00000000" w:rsidR="00000000" w:rsidRPr="00000000">
        <w:rPr>
          <w:rFonts w:ascii="Calibri" w:cs="Calibri" w:eastAsia="Calibri" w:hAnsi="Calibri"/>
          <w:b w:val="0"/>
          <w:bCs w:val="0"/>
          <w:i w:val="0"/>
          <w:iCs w:val="0"/>
          <w:sz w:val="22"/>
          <w:szCs w:val="22"/>
          <w:rtl w:val="0"/>
        </w:rPr>
        <w:t xml:space="preserve"> Two recent surveys structure the field. Li et al. (2025) offered a systematic review of RAG for educational applications and identified pedagogical adaptation, evaluation, and domain specialization as open problems. Swacha and Gracel (2025) surveyed RAG chatbots for education and found a heavy tilt toward STEM tutoring, programming help, and language learning, with cultural and humanities applications underrepresented. Both surveys read corp</w:t>
      </w:r>
      <w:r w:rsidDel="00000000" w:rsidR="00000000" w:rsidRPr="00000000">
        <w:rPr>
          <w:rtl w:val="0"/>
        </w:rPr>
        <w:t xml:space="preserve">ora</w:t>
      </w:r>
      <w:r w:rsidDel="00000000" w:rsidR="00000000" w:rsidRPr="00000000">
        <w:rPr>
          <w:rFonts w:ascii="Calibri" w:cs="Calibri" w:eastAsia="Calibri" w:hAnsi="Calibri"/>
          <w:b w:val="0"/>
          <w:bCs w:val="0"/>
          <w:i w:val="0"/>
          <w:iCs w:val="0"/>
          <w:sz w:val="22"/>
          <w:szCs w:val="22"/>
          <w:rtl w:val="0"/>
        </w:rPr>
        <w:t xml:space="preserve"> as input. Neither foregrounds corpus design as an ethical decision. Mollick and Mollick (2023) examined LLM pedagogy and raised related concerns about reliability and classroom integration. UNESCO's (2025) policy guidance underscores governance and equity gaps that RAG work in education has not yet resolved.</w:t>
      </w:r>
      <w:r w:rsidDel="00000000" w:rsidR="00000000" w:rsidRPr="00000000">
        <w:rPr>
          <w:rtl w:val="0"/>
        </w:rPr>
      </w:r>
    </w:p>
    <w:p w:rsidR="00000000" w:rsidDel="00000000" w:rsidP="00000000" w:rsidRDefault="00000000" w:rsidRPr="00000000" w14:paraId="00000022">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RAG ethics in high-stakes domains.</w:t>
      </w:r>
      <w:r w:rsidDel="00000000" w:rsidR="00000000" w:rsidRPr="00000000">
        <w:rPr>
          <w:rFonts w:ascii="Calibri" w:cs="Calibri" w:eastAsia="Calibri" w:hAnsi="Calibri"/>
          <w:b w:val="0"/>
          <w:bCs w:val="0"/>
          <w:i w:val="0"/>
          <w:iCs w:val="0"/>
          <w:sz w:val="22"/>
          <w:szCs w:val="22"/>
          <w:rtl w:val="0"/>
        </w:rPr>
        <w:t xml:space="preserve"> Healthcare has moved faster on RAG ethics than education has. A 2025 scoping review in the medRxiv literature catalogued ethics, bias, transparency, and provenance concerns for healthcare RAG and recommended tighter source-verification practices (Bunnell et al., 2025). Legal RAG work has raised similar issues with reliability and citation fidelity (Magesh et al., 2025). The lesson for education is not that the stakes are lower. The lesson is that cultural representation in educational RAG is the analogue of clinical safety in medical RAG, and it demands the same class of architectural commitment.</w:t>
      </w:r>
      <w:r w:rsidDel="00000000" w:rsidR="00000000" w:rsidRPr="00000000">
        <w:rPr>
          <w:rtl w:val="0"/>
        </w:rPr>
      </w:r>
    </w:p>
    <w:p w:rsidR="00000000" w:rsidDel="00000000" w:rsidP="00000000" w:rsidRDefault="00000000" w:rsidRPr="00000000" w14:paraId="00000023">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Digital afterlife and deadbot ethics.</w:t>
      </w:r>
      <w:r w:rsidDel="00000000" w:rsidR="00000000" w:rsidRPr="00000000">
        <w:rPr>
          <w:rFonts w:ascii="Calibri" w:cs="Calibri" w:eastAsia="Calibri" w:hAnsi="Calibri"/>
          <w:b w:val="0"/>
          <w:bCs w:val="0"/>
          <w:i w:val="0"/>
          <w:iCs w:val="0"/>
          <w:sz w:val="22"/>
          <w:szCs w:val="22"/>
          <w:rtl w:val="0"/>
        </w:rPr>
        <w:t xml:space="preserve"> Hollanek and Nowaczyk-Basińska (2024) mapped the ethical terrain of griefbots, deadbots, and postmortem avatars and argued for consent-centered design with active roles for the donor and the bereaved. Our work is adjacent but distinct: the scholar in our case is alive and functions as a co-designer.  Therefore, the eventual posthumous governance of his RAG system is a question he and his family will </w:t>
      </w:r>
      <w:r w:rsidDel="00000000" w:rsidR="00000000" w:rsidRPr="00000000">
        <w:rPr>
          <w:rtl w:val="0"/>
        </w:rPr>
        <w:t xml:space="preserve">address</w:t>
      </w:r>
      <w:r w:rsidDel="00000000" w:rsidR="00000000" w:rsidRPr="00000000">
        <w:rPr>
          <w:rFonts w:ascii="Calibri" w:cs="Calibri" w:eastAsia="Calibri" w:hAnsi="Calibri"/>
          <w:b w:val="0"/>
          <w:bCs w:val="0"/>
          <w:i w:val="0"/>
          <w:iCs w:val="0"/>
          <w:sz w:val="22"/>
          <w:szCs w:val="22"/>
          <w:rtl w:val="0"/>
        </w:rPr>
        <w:t xml:space="preserve">, not a question the software gets to answer. Öhman and Floridi (2018) laid earlier groundwork on the digital afterlife industry and the asymmetry of risks to the deceased and their communities. Morris and Brubaker (2024) extended that work to generative afterlife systems.</w:t>
      </w:r>
      <w:r w:rsidDel="00000000" w:rsidR="00000000" w:rsidRPr="00000000">
        <w:rPr>
          <w:rtl w:val="0"/>
        </w:rPr>
      </w:r>
    </w:p>
    <w:p w:rsidR="00000000" w:rsidDel="00000000" w:rsidP="00000000" w:rsidRDefault="00000000" w:rsidRPr="00000000" w14:paraId="00000024">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Voice-cloning consent and law.</w:t>
      </w:r>
      <w:r w:rsidDel="00000000" w:rsidR="00000000" w:rsidRPr="00000000">
        <w:rPr>
          <w:rFonts w:ascii="Calibri" w:cs="Calibri" w:eastAsia="Calibri" w:hAnsi="Calibri"/>
          <w:b w:val="0"/>
          <w:bCs w:val="0"/>
          <w:i w:val="0"/>
          <w:iCs w:val="0"/>
          <w:sz w:val="22"/>
          <w:szCs w:val="22"/>
          <w:rtl w:val="0"/>
        </w:rPr>
        <w:t xml:space="preserve"> Lehrman v. Lovo (2025), decided in the Southern District of New York, is the pivotal U.S. case on unconsented voice cloning to date. The opinion makes clear that voice misappropriation claims can survive under state law even when federal trademark and copyright theories narrow, which sharpens the practical case for purpose-specific consent, revocation terms, and auditable downstream use. Recent AI-ethics work on voice actors reaches a parallel conclusion from the labor side (Sharma et al., 2025). Our system uses a consented voice clone trained only on materials the scholar recorded or authorized, with project-specific consent revisited annually.</w:t>
      </w:r>
      <w:r w:rsidDel="00000000" w:rsidR="00000000" w:rsidRPr="00000000">
        <w:rPr>
          <w:rtl w:val="0"/>
        </w:rPr>
      </w:r>
    </w:p>
    <w:p w:rsidR="00000000" w:rsidDel="00000000" w:rsidP="00000000" w:rsidRDefault="00000000" w:rsidRPr="00000000" w14:paraId="00000025">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AI and cultural heritage.</w:t>
      </w:r>
      <w:r w:rsidDel="00000000" w:rsidR="00000000" w:rsidRPr="00000000">
        <w:rPr>
          <w:rFonts w:ascii="Calibri" w:cs="Calibri" w:eastAsia="Calibri" w:hAnsi="Calibri"/>
          <w:b w:val="0"/>
          <w:bCs w:val="0"/>
          <w:i w:val="0"/>
          <w:iCs w:val="0"/>
          <w:sz w:val="22"/>
          <w:szCs w:val="22"/>
          <w:rtl w:val="0"/>
        </w:rPr>
        <w:t xml:space="preserve"> UNESCO's (2025) Independent Expert Group report on AI and culture flagged a serious risk: that large-scale AI systems trained on imbalanced corpora </w:t>
      </w:r>
      <w:r w:rsidDel="00000000" w:rsidR="00000000" w:rsidRPr="00000000">
        <w:rPr>
          <w:rtl w:val="0"/>
        </w:rPr>
        <w:t xml:space="preserve">may</w:t>
      </w:r>
      <w:r w:rsidDel="00000000" w:rsidR="00000000" w:rsidRPr="00000000">
        <w:rPr>
          <w:rFonts w:ascii="Calibri" w:cs="Calibri" w:eastAsia="Calibri" w:hAnsi="Calibri"/>
          <w:b w:val="0"/>
          <w:bCs w:val="0"/>
          <w:i w:val="0"/>
          <w:iCs w:val="0"/>
          <w:sz w:val="22"/>
          <w:szCs w:val="22"/>
          <w:rtl w:val="0"/>
        </w:rPr>
        <w:t xml:space="preserve"> accelerate the erasure of minoritized cultural expression.  </w:t>
      </w:r>
      <w:r w:rsidDel="00000000" w:rsidR="00000000" w:rsidRPr="00000000">
        <w:rPr>
          <w:rtl w:val="0"/>
        </w:rPr>
        <w:t xml:space="preserve">As a result, the report</w:t>
      </w:r>
      <w:r w:rsidDel="00000000" w:rsidR="00000000" w:rsidRPr="00000000">
        <w:rPr>
          <w:rFonts w:ascii="Calibri" w:cs="Calibri" w:eastAsia="Calibri" w:hAnsi="Calibri"/>
          <w:b w:val="0"/>
          <w:bCs w:val="0"/>
          <w:i w:val="0"/>
          <w:iCs w:val="0"/>
          <w:sz w:val="22"/>
          <w:szCs w:val="22"/>
          <w:rtl w:val="0"/>
        </w:rPr>
        <w:t xml:space="preserve"> recommended participatory curation with originating communities. The report is the closest policy analogue to what legacy RAG is trying to do in miniature: a participatory corpus, an originating voice at the center, and a refusal architecture.</w:t>
      </w:r>
      <w:r w:rsidDel="00000000" w:rsidR="00000000" w:rsidRPr="00000000">
        <w:rPr>
          <w:rtl w:val="0"/>
        </w:rPr>
      </w:r>
    </w:p>
    <w:p w:rsidR="00000000" w:rsidDel="00000000" w:rsidP="00000000" w:rsidRDefault="00000000" w:rsidRPr="00000000" w14:paraId="00000026">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Foundational theory.</w:t>
      </w:r>
      <w:r w:rsidDel="00000000" w:rsidR="00000000" w:rsidRPr="00000000">
        <w:rPr>
          <w:rFonts w:ascii="Calibri" w:cs="Calibri" w:eastAsia="Calibri" w:hAnsi="Calibri"/>
          <w:b w:val="0"/>
          <w:bCs w:val="0"/>
          <w:i w:val="0"/>
          <w:iCs w:val="0"/>
          <w:sz w:val="22"/>
          <w:szCs w:val="22"/>
          <w:rtl w:val="0"/>
        </w:rPr>
        <w:t xml:space="preserve"> Our framework leans on older sources explicitly: Sinclair (1998), Crenshaw (1989), Ladson-Billings and Tate (1995), Freire (1970/2000), Fullan (2011), Kotter (2012), Kantabutra (2008), Senge (1990), and Ludema et al. (2006). We follow the rubric convention of keeping these as foundational anchors and drawing recency from the AI ethics and RAG literature (Bender et al., 2021; Birhane et al., 2023; Li et al., 2025; Sharma et al., 2025).</w:t>
      </w:r>
      <w:r w:rsidDel="00000000" w:rsidR="00000000" w:rsidRPr="00000000">
        <w:rPr>
          <w:rtl w:val="0"/>
        </w:rPr>
      </w:r>
    </w:p>
    <w:p w:rsidR="00000000" w:rsidDel="00000000" w:rsidP="00000000" w:rsidRDefault="00000000" w:rsidRPr="00000000" w14:paraId="00000027">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4. Case Context and Methods</w:t>
      </w:r>
      <w:r w:rsidDel="00000000" w:rsidR="00000000" w:rsidRPr="00000000">
        <w:rPr>
          <w:rtl w:val="0"/>
        </w:rPr>
      </w:r>
    </w:p>
    <w:p w:rsidR="00000000" w:rsidDel="00000000" w:rsidP="00000000" w:rsidRDefault="00000000" w:rsidRPr="00000000" w14:paraId="00000028">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Subject.</w:t>
      </w:r>
      <w:r w:rsidDel="00000000" w:rsidR="00000000" w:rsidRPr="00000000">
        <w:rPr>
          <w:rFonts w:ascii="Calibri" w:cs="Calibri" w:eastAsia="Calibri" w:hAnsi="Calibri"/>
          <w:b w:val="0"/>
          <w:bCs w:val="0"/>
          <w:i w:val="0"/>
          <w:iCs w:val="0"/>
          <w:sz w:val="22"/>
          <w:szCs w:val="22"/>
          <w:rtl w:val="0"/>
        </w:rPr>
        <w:t xml:space="preserve"> Dr. Carlos E. Cortés is a historian, multicultural educator, public lecturer, and creative writer whose career has </w:t>
      </w:r>
      <w:r w:rsidDel="00000000" w:rsidR="00000000" w:rsidRPr="00000000">
        <w:rPr>
          <w:rtl w:val="0"/>
        </w:rPr>
        <w:t xml:space="preserve">influenced</w:t>
      </w:r>
      <w:r w:rsidDel="00000000" w:rsidR="00000000" w:rsidRPr="00000000">
        <w:rPr>
          <w:rFonts w:ascii="Calibri" w:cs="Calibri" w:eastAsia="Calibri" w:hAnsi="Calibri"/>
          <w:b w:val="0"/>
          <w:bCs w:val="0"/>
          <w:i w:val="0"/>
          <w:iCs w:val="0"/>
          <w:sz w:val="22"/>
          <w:szCs w:val="22"/>
          <w:rtl w:val="0"/>
        </w:rPr>
        <w:t xml:space="preserve"> several distinct fields, including Chicano studies, multicultural education, media and diversity studies, and, most recently, health equity curriculum in medical education. He has authored or edited more than </w:t>
      </w:r>
      <w:r w:rsidDel="00000000" w:rsidR="00000000" w:rsidRPr="00000000">
        <w:rPr>
          <w:rtl w:val="0"/>
        </w:rPr>
        <w:t xml:space="preserve">one hundred books</w:t>
      </w:r>
      <w:r w:rsidDel="00000000" w:rsidR="00000000" w:rsidRPr="00000000">
        <w:rPr>
          <w:rFonts w:ascii="Calibri" w:cs="Calibri" w:eastAsia="Calibri" w:hAnsi="Calibri"/>
          <w:b w:val="0"/>
          <w:bCs w:val="0"/>
          <w:i w:val="0"/>
          <w:iCs w:val="0"/>
          <w:sz w:val="22"/>
          <w:szCs w:val="22"/>
          <w:rtl w:val="0"/>
        </w:rPr>
        <w:t xml:space="preserve">, including </w:t>
      </w:r>
      <w:r w:rsidDel="00000000" w:rsidR="00000000" w:rsidRPr="00000000">
        <w:rPr>
          <w:rFonts w:ascii="Calibri" w:cs="Calibri" w:eastAsia="Calibri" w:hAnsi="Calibri"/>
          <w:b w:val="0"/>
          <w:bCs w:val="0"/>
          <w:i w:val="1"/>
          <w:iCs w:val="1"/>
          <w:sz w:val="22"/>
          <w:szCs w:val="22"/>
          <w:rtl w:val="0"/>
        </w:rPr>
        <w:t xml:space="preserve">The Children Are Watching</w:t>
      </w:r>
      <w:r w:rsidDel="00000000" w:rsidR="00000000" w:rsidRPr="00000000">
        <w:rPr>
          <w:rFonts w:ascii="Calibri" w:cs="Calibri" w:eastAsia="Calibri" w:hAnsi="Calibri"/>
          <w:b w:val="0"/>
          <w:bCs w:val="0"/>
          <w:i w:val="0"/>
          <w:iCs w:val="0"/>
          <w:sz w:val="22"/>
          <w:szCs w:val="22"/>
          <w:rtl w:val="0"/>
        </w:rPr>
        <w:t xml:space="preserve"> (Cortés, 2000), </w:t>
      </w:r>
      <w:r w:rsidDel="00000000" w:rsidR="00000000" w:rsidRPr="00000000">
        <w:rPr>
          <w:rFonts w:ascii="Calibri" w:cs="Calibri" w:eastAsia="Calibri" w:hAnsi="Calibri"/>
          <w:b w:val="0"/>
          <w:bCs w:val="0"/>
          <w:i w:val="1"/>
          <w:iCs w:val="1"/>
          <w:sz w:val="22"/>
          <w:szCs w:val="22"/>
          <w:rtl w:val="0"/>
        </w:rPr>
        <w:t xml:space="preserve">The Making and Remaking of a Multiculturalist</w:t>
      </w:r>
      <w:r w:rsidDel="00000000" w:rsidR="00000000" w:rsidRPr="00000000">
        <w:rPr>
          <w:rFonts w:ascii="Calibri" w:cs="Calibri" w:eastAsia="Calibri" w:hAnsi="Calibri"/>
          <w:b w:val="0"/>
          <w:bCs w:val="0"/>
          <w:i w:val="0"/>
          <w:iCs w:val="0"/>
          <w:sz w:val="22"/>
          <w:szCs w:val="22"/>
          <w:rtl w:val="0"/>
        </w:rPr>
        <w:t xml:space="preserve"> (Cortés, 2002), the four-volume </w:t>
      </w:r>
      <w:r w:rsidDel="00000000" w:rsidR="00000000" w:rsidRPr="00000000">
        <w:rPr>
          <w:rFonts w:ascii="Calibri" w:cs="Calibri" w:eastAsia="Calibri" w:hAnsi="Calibri"/>
          <w:b w:val="0"/>
          <w:bCs w:val="0"/>
          <w:i w:val="1"/>
          <w:iCs w:val="1"/>
          <w:sz w:val="22"/>
          <w:szCs w:val="22"/>
          <w:rtl w:val="0"/>
        </w:rPr>
        <w:t xml:space="preserve">Multicultural America </w:t>
      </w:r>
      <w:r w:rsidDel="00000000" w:rsidR="00000000" w:rsidRPr="00000000">
        <w:rPr>
          <w:rtl w:val="0"/>
        </w:rPr>
        <w:t xml:space="preserve">encyclopedia</w:t>
      </w:r>
      <w:r w:rsidDel="00000000" w:rsidR="00000000" w:rsidRPr="00000000">
        <w:rPr>
          <w:rFonts w:ascii="Calibri" w:cs="Calibri" w:eastAsia="Calibri" w:hAnsi="Calibri"/>
          <w:b w:val="0"/>
          <w:bCs w:val="0"/>
          <w:i w:val="0"/>
          <w:iCs w:val="0"/>
          <w:sz w:val="22"/>
          <w:szCs w:val="22"/>
          <w:rtl w:val="0"/>
        </w:rPr>
        <w:t xml:space="preserve"> (Cortés, 2013),</w:t>
      </w:r>
      <w:r w:rsidDel="00000000" w:rsidR="00000000" w:rsidRPr="00000000">
        <w:rPr>
          <w:rtl w:val="0"/>
        </w:rPr>
        <w:t xml:space="preserve"> the</w:t>
      </w:r>
      <w:r w:rsidDel="00000000" w:rsidR="00000000" w:rsidRPr="00000000">
        <w:rPr>
          <w:rFonts w:ascii="Calibri" w:cs="Calibri" w:eastAsia="Calibri" w:hAnsi="Calibri"/>
          <w:b w:val="0"/>
          <w:bCs w:val="0"/>
          <w:i w:val="0"/>
          <w:iCs w:val="0"/>
          <w:sz w:val="22"/>
          <w:szCs w:val="22"/>
          <w:rtl w:val="0"/>
        </w:rPr>
        <w:t xml:space="preserve"> memoir </w:t>
      </w:r>
      <w:r w:rsidDel="00000000" w:rsidR="00000000" w:rsidRPr="00000000">
        <w:rPr>
          <w:rFonts w:ascii="Calibri" w:cs="Calibri" w:eastAsia="Calibri" w:hAnsi="Calibri"/>
          <w:b w:val="0"/>
          <w:bCs w:val="0"/>
          <w:i w:val="1"/>
          <w:iCs w:val="1"/>
          <w:sz w:val="22"/>
          <w:szCs w:val="22"/>
          <w:rtl w:val="0"/>
        </w:rPr>
        <w:t xml:space="preserve">Rose Hill: An Intermarriage before Its Time</w:t>
      </w:r>
      <w:r w:rsidDel="00000000" w:rsidR="00000000" w:rsidRPr="00000000">
        <w:rPr>
          <w:rFonts w:ascii="Calibri" w:cs="Calibri" w:eastAsia="Calibri" w:hAnsi="Calibri"/>
          <w:b w:val="0"/>
          <w:bCs w:val="0"/>
          <w:i w:val="0"/>
          <w:iCs w:val="0"/>
          <w:sz w:val="22"/>
          <w:szCs w:val="22"/>
          <w:rtl w:val="0"/>
        </w:rPr>
        <w:t xml:space="preserve"> (Cortés, 2012), and most recently the novel </w:t>
      </w:r>
      <w:r w:rsidDel="00000000" w:rsidR="00000000" w:rsidRPr="00000000">
        <w:rPr>
          <w:rFonts w:ascii="Calibri" w:cs="Calibri" w:eastAsia="Calibri" w:hAnsi="Calibri"/>
          <w:b w:val="0"/>
          <w:bCs w:val="0"/>
          <w:i w:val="1"/>
          <w:iCs w:val="1"/>
          <w:sz w:val="22"/>
          <w:szCs w:val="22"/>
          <w:rtl w:val="0"/>
        </w:rPr>
        <w:t xml:space="preserve">Scouts' Honor</w:t>
      </w:r>
      <w:r w:rsidDel="00000000" w:rsidR="00000000" w:rsidRPr="00000000">
        <w:rPr>
          <w:rFonts w:ascii="Calibri" w:cs="Calibri" w:eastAsia="Calibri" w:hAnsi="Calibri"/>
          <w:b w:val="0"/>
          <w:bCs w:val="0"/>
          <w:i w:val="0"/>
          <w:iCs w:val="0"/>
          <w:sz w:val="22"/>
          <w:szCs w:val="22"/>
          <w:rtl w:val="0"/>
        </w:rPr>
        <w:t xml:space="preserve"> (Cortés, 2025). His 2025 article in </w:t>
      </w:r>
      <w:r w:rsidDel="00000000" w:rsidR="00000000" w:rsidRPr="00000000">
        <w:rPr>
          <w:rFonts w:ascii="Calibri" w:cs="Calibri" w:eastAsia="Calibri" w:hAnsi="Calibri"/>
          <w:b w:val="0"/>
          <w:bCs w:val="0"/>
          <w:i w:val="1"/>
          <w:iCs w:val="1"/>
          <w:sz w:val="22"/>
          <w:szCs w:val="22"/>
          <w:rtl w:val="0"/>
        </w:rPr>
        <w:t xml:space="preserve">Multicultural Perspectives</w:t>
      </w:r>
      <w:r w:rsidDel="00000000" w:rsidR="00000000" w:rsidRPr="00000000">
        <w:rPr>
          <w:rFonts w:ascii="Calibri" w:cs="Calibri" w:eastAsia="Calibri" w:hAnsi="Calibri"/>
          <w:b w:val="0"/>
          <w:bCs w:val="0"/>
          <w:i w:val="0"/>
          <w:iCs w:val="0"/>
          <w:sz w:val="22"/>
          <w:szCs w:val="22"/>
          <w:rtl w:val="0"/>
        </w:rPr>
        <w:t xml:space="preserve">, "Renewing Multicultural Education: An Ancient Mariner's Manifesto," is a recent </w:t>
      </w:r>
      <w:r w:rsidDel="00000000" w:rsidR="00000000" w:rsidRPr="00000000">
        <w:rPr>
          <w:rtl w:val="0"/>
        </w:rPr>
        <w:t xml:space="preserve">examination of the challenges facing the field</w:t>
      </w:r>
      <w:r w:rsidDel="00000000" w:rsidR="00000000" w:rsidRPr="00000000">
        <w:rPr>
          <w:rFonts w:ascii="Calibri" w:cs="Calibri" w:eastAsia="Calibri" w:hAnsi="Calibri"/>
          <w:b w:val="0"/>
          <w:bCs w:val="0"/>
          <w:i w:val="0"/>
          <w:iCs w:val="0"/>
          <w:sz w:val="22"/>
          <w:szCs w:val="22"/>
          <w:rtl w:val="0"/>
        </w:rPr>
        <w:t xml:space="preserve"> (Cortés, 2025). </w:t>
      </w:r>
      <w:r w:rsidDel="00000000" w:rsidR="00000000" w:rsidRPr="00000000">
        <w:rPr>
          <w:rtl w:val="0"/>
        </w:rPr>
        <w:t xml:space="preserve">For five decades he </w:t>
      </w:r>
      <w:r w:rsidDel="00000000" w:rsidR="00000000" w:rsidRPr="00000000">
        <w:rPr>
          <w:rFonts w:ascii="Calibri" w:cs="Calibri" w:eastAsia="Calibri" w:hAnsi="Calibri"/>
          <w:b w:val="0"/>
          <w:bCs w:val="0"/>
          <w:i w:val="0"/>
          <w:iCs w:val="0"/>
          <w:sz w:val="22"/>
          <w:szCs w:val="22"/>
          <w:rtl w:val="0"/>
        </w:rPr>
        <w:t xml:space="preserve">has argued that media and other informal educators should be viewed as </w:t>
      </w:r>
      <w:r w:rsidDel="00000000" w:rsidR="00000000" w:rsidRPr="00000000">
        <w:rPr>
          <w:rtl w:val="0"/>
        </w:rPr>
        <w:t xml:space="preserve">de facto elements of the educational curriculum, for better and for worse </w:t>
      </w:r>
      <w:r w:rsidDel="00000000" w:rsidR="00000000" w:rsidRPr="00000000">
        <w:rPr>
          <w:rFonts w:ascii="Calibri" w:cs="Calibri" w:eastAsia="Calibri" w:hAnsi="Calibri"/>
          <w:b w:val="0"/>
          <w:bCs w:val="0"/>
          <w:i w:val="0"/>
          <w:iCs w:val="0"/>
          <w:sz w:val="22"/>
          <w:szCs w:val="22"/>
          <w:rtl w:val="0"/>
        </w:rPr>
        <w:t xml:space="preserve">(Cortés, 2000, 2019).</w:t>
      </w:r>
      <w:r w:rsidDel="00000000" w:rsidR="00000000" w:rsidRPr="00000000">
        <w:rPr>
          <w:rtl w:val="0"/>
        </w:rPr>
      </w:r>
    </w:p>
    <w:p w:rsidR="00000000" w:rsidDel="00000000" w:rsidP="00000000" w:rsidRDefault="00000000" w:rsidRPr="00000000" w14:paraId="00000029">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System.</w:t>
      </w:r>
      <w:r w:rsidDel="00000000" w:rsidR="00000000" w:rsidRPr="00000000">
        <w:rPr>
          <w:rFonts w:ascii="Calibri" w:cs="Calibri" w:eastAsia="Calibri" w:hAnsi="Calibri"/>
          <w:b w:val="0"/>
          <w:bCs w:val="0"/>
          <w:i w:val="0"/>
          <w:iCs w:val="0"/>
          <w:sz w:val="22"/>
          <w:szCs w:val="22"/>
          <w:rtl w:val="0"/>
        </w:rPr>
        <w:t xml:space="preserve"> The Cortés Interactive chatbot and timeline is a retrieval-augmented generation application. The stack is Node.js with Express on the server, a local embeddings index over the curated corpus, Google Gemini for grounded text generation, ElevenLabs for consented voice synthesis, and an optional Sync Labs lip-sync avatar layer. Retrieval uses top-k similarity with k configurable per route; default k is 6. Generation runs under a system prompt that we describe in detail below. A canned refusal library provides tone and content for common refusal cases. A validator runs a second pass before any audio is synthesized, to catch living-person mentions not in an allowed-deceased list, prompt-injection slips, or length overruns.</w:t>
      </w:r>
      <w:r w:rsidDel="00000000" w:rsidR="00000000" w:rsidRPr="00000000">
        <w:rPr>
          <w:rtl w:val="0"/>
        </w:rPr>
      </w:r>
    </w:p>
    <w:p w:rsidR="00000000" w:rsidDel="00000000" w:rsidP="00000000" w:rsidRDefault="00000000" w:rsidRPr="00000000" w14:paraId="0000002A">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Corpus.</w:t>
      </w:r>
      <w:r w:rsidDel="00000000" w:rsidR="00000000" w:rsidRPr="00000000">
        <w:rPr>
          <w:rFonts w:ascii="Calibri" w:cs="Calibri" w:eastAsia="Calibri" w:hAnsi="Calibri"/>
          <w:b w:val="0"/>
          <w:bCs w:val="0"/>
          <w:i w:val="0"/>
          <w:iCs w:val="0"/>
          <w:sz w:val="22"/>
          <w:szCs w:val="22"/>
          <w:rtl w:val="0"/>
        </w:rPr>
        <w:t xml:space="preserve"> The corpus is an on-disk collection of Cortés's published work and authorized artifacts, organized into an annotated bibliography, a works database, selected PDFs and text extracts, chronology materials, and website captures. We curated the corpus in three passes with Cortés's participation. The first pass identified works that he considered representative and that were within his rights to include. The second pass added archival materials and chronology to support retrieval. The third pass excluded works behind paywalls where permissions could not be cleared, and flagged language coverage gaps (Spanish and Portuguese materials are underrepresented relative to English). The corpus is versioned and the manifest tracks additions and removals with dates.</w:t>
      </w:r>
      <w:r w:rsidDel="00000000" w:rsidR="00000000" w:rsidRPr="00000000">
        <w:rPr>
          <w:rtl w:val="0"/>
        </w:rPr>
      </w:r>
    </w:p>
    <w:p w:rsidR="00000000" w:rsidDel="00000000" w:rsidP="00000000" w:rsidRDefault="00000000" w:rsidRPr="00000000" w14:paraId="0000002B">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Design process.</w:t>
      </w:r>
      <w:r w:rsidDel="00000000" w:rsidR="00000000" w:rsidRPr="00000000">
        <w:rPr>
          <w:rFonts w:ascii="Calibri" w:cs="Calibri" w:eastAsia="Calibri" w:hAnsi="Calibri"/>
          <w:b w:val="0"/>
          <w:bCs w:val="0"/>
          <w:i w:val="0"/>
          <w:iCs w:val="0"/>
          <w:sz w:val="22"/>
          <w:szCs w:val="22"/>
          <w:rtl w:val="0"/>
        </w:rPr>
        <w:t xml:space="preserve"> The process was iterative and participatory. Each phase of Sinclair's frame was a conversation with Cortés before it became a build artifact. Voice training used materials Cortés recorded and explicitly authorized for the project. The system prompt, guardrails, and canned refusal library were developed with his input and tested against the corpus before deployment. A living document, GUARDRAILS.md, anchors those decisions and is revised on a cadence.</w:t>
      </w:r>
      <w:r w:rsidDel="00000000" w:rsidR="00000000" w:rsidRPr="00000000">
        <w:rPr>
          <w:rtl w:val="0"/>
        </w:rPr>
      </w:r>
    </w:p>
    <w:p w:rsidR="00000000" w:rsidDel="00000000" w:rsidP="00000000" w:rsidRDefault="00000000" w:rsidRPr="00000000" w14:paraId="0000002C">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Ethics and IRB determination.</w:t>
      </w:r>
      <w:r w:rsidDel="00000000" w:rsidR="00000000" w:rsidRPr="00000000">
        <w:rPr>
          <w:rFonts w:ascii="Calibri" w:cs="Calibri" w:eastAsia="Calibri" w:hAnsi="Calibri"/>
          <w:b w:val="0"/>
          <w:bCs w:val="0"/>
          <w:i w:val="0"/>
          <w:iCs w:val="0"/>
          <w:sz w:val="22"/>
          <w:szCs w:val="22"/>
          <w:rtl w:val="0"/>
        </w:rPr>
        <w:t xml:space="preserve"> This is a design case study documenting the authors' own build of a software system for a consented living collaborator. It is not human-subjects research as defined by 45 CFR 46 because it does not involve an intervention on or interaction with subjects other than the authors and named collaborator for purposes of generating generalizable knowledge about those subjects. We sought guidance from institutional ethics staff and determined IRB review was not required. Consent with Dr. Cortés was nonetheless structured, documented in project records, and revisited. We describe that consent in Section 6 and in the Ethics Statement.</w:t>
      </w:r>
      <w:r w:rsidDel="00000000" w:rsidR="00000000" w:rsidRPr="00000000">
        <w:rPr>
          <w:rtl w:val="0"/>
        </w:rPr>
      </w:r>
    </w:p>
    <w:p w:rsidR="00000000" w:rsidDel="00000000" w:rsidP="00000000" w:rsidRDefault="00000000" w:rsidRPr="00000000" w14:paraId="0000002D">
      <w:pPr>
        <w:spacing w:after="120" w:line="276" w:lineRule="auto"/>
        <w:ind w:left="0" w:right="0" w:firstLine="0"/>
        <w:jc w:val="both"/>
        <w:rPr>
          <w:rFonts w:ascii="Calibri" w:cs="Calibri" w:eastAsia="Calibri" w:hAnsi="Calibri"/>
          <w:b w:val="0"/>
          <w:bCs w:val="0"/>
          <w:i w:val="0"/>
          <w:iCs w:val="0"/>
          <w:sz w:val="22"/>
          <w:szCs w:val="22"/>
        </w:rPr>
      </w:pPr>
      <w:r w:rsidDel="00000000" w:rsidR="00000000" w:rsidRPr="00000000">
        <w:rPr>
          <w:rFonts w:ascii="Calibri" w:cs="Calibri" w:eastAsia="Calibri" w:hAnsi="Calibri"/>
          <w:b w:val="1"/>
          <w:bCs w:val="1"/>
          <w:i w:val="0"/>
          <w:iCs w:val="0"/>
          <w:sz w:val="22"/>
          <w:szCs w:val="22"/>
          <w:rtl w:val="0"/>
        </w:rPr>
        <w:t xml:space="preserve">Analytic approach.</w:t>
      </w:r>
      <w:r w:rsidDel="00000000" w:rsidR="00000000" w:rsidRPr="00000000">
        <w:rPr>
          <w:rFonts w:ascii="Calibri" w:cs="Calibri" w:eastAsia="Calibri" w:hAnsi="Calibri"/>
          <w:b w:val="0"/>
          <w:bCs w:val="0"/>
          <w:i w:val="0"/>
          <w:iCs w:val="0"/>
          <w:sz w:val="22"/>
          <w:szCs w:val="22"/>
          <w:rtl w:val="0"/>
        </w:rPr>
        <w:t xml:space="preserve"> We read the build against Sinclair's (1998) phases as extended in Martin (2022). For each phase we examined design artifacts (Git history, system prompts, corpus manifests, consent letters) and author notes, and we audited each against the CRT questions named in Section 2. We treat this as descriptive-analytic reporting of a design case rather than as a user study. We have not yet run a user study and we flag that as a limitation.</w:t>
      </w:r>
    </w:p>
    <w:p w:rsidR="00000000" w:rsidDel="00000000" w:rsidP="00000000" w:rsidRDefault="00000000" w:rsidRPr="00000000" w14:paraId="0000002E">
      <w:pPr>
        <w:spacing w:after="120" w:line="276" w:lineRule="auto"/>
        <w:ind w:left="0" w:right="0" w:firstLine="0"/>
        <w:jc w:val="both"/>
        <w:rPr/>
      </w:pPr>
      <w:r w:rsidDel="00000000" w:rsidR="00000000" w:rsidRPr="00000000">
        <w:rPr>
          <w:rtl w:val="0"/>
        </w:rPr>
      </w:r>
    </w:p>
    <w:p w:rsidR="00000000" w:rsidDel="00000000" w:rsidP="00000000" w:rsidRDefault="00000000" w:rsidRPr="00000000" w14:paraId="0000002F">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5. Findings Through Sinclair's Four Phases</w:t>
      </w:r>
      <w:r w:rsidDel="00000000" w:rsidR="00000000" w:rsidRPr="00000000">
        <w:rPr>
          <w:rtl w:val="0"/>
        </w:rPr>
      </w:r>
    </w:p>
    <w:p w:rsidR="00000000" w:rsidDel="00000000" w:rsidP="00000000" w:rsidRDefault="00000000" w:rsidRPr="00000000" w14:paraId="00000030">
      <w:pPr>
        <w:keepNext w:val="1"/>
        <w:spacing w:after="80" w:before="200" w:line="276" w:lineRule="auto"/>
        <w:jc w:val="left"/>
        <w:rPr/>
      </w:pPr>
      <w:r w:rsidDel="00000000" w:rsidR="00000000" w:rsidRPr="00000000">
        <w:rPr>
          <w:rFonts w:ascii="Calibri" w:cs="Calibri" w:eastAsia="Calibri" w:hAnsi="Calibri"/>
          <w:b w:val="1"/>
          <w:bCs w:val="1"/>
          <w:i w:val="0"/>
          <w:iCs w:val="0"/>
          <w:sz w:val="24"/>
          <w:szCs w:val="24"/>
          <w:rtl w:val="0"/>
        </w:rPr>
        <w:t xml:space="preserve">5.1 Imagine</w:t>
      </w:r>
      <w:r w:rsidDel="00000000" w:rsidR="00000000" w:rsidRPr="00000000">
        <w:rPr>
          <w:rtl w:val="0"/>
        </w:rPr>
      </w:r>
    </w:p>
    <w:p w:rsidR="00000000" w:rsidDel="00000000" w:rsidP="00000000" w:rsidRDefault="00000000" w:rsidRPr="00000000" w14:paraId="00000031">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imagine phase asks what a technology is for, who is imagining it, and whose interests are being imagined in and out. The CRT reading of imagination is not optional. It is the first place representational harm tends to enter, because the hardest choices have not been made yet and the easiest assumptions pass through without resistance.</w:t>
      </w:r>
      <w:r w:rsidDel="00000000" w:rsidR="00000000" w:rsidRPr="00000000">
        <w:rPr>
          <w:rtl w:val="0"/>
        </w:rPr>
      </w:r>
    </w:p>
    <w:p w:rsidR="00000000" w:rsidDel="00000000" w:rsidP="00000000" w:rsidRDefault="00000000" w:rsidRPr="00000000" w14:paraId="00000032">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We imagined the system as a pedagogical companion to a scholar's body of work, not as a replacement for the scholar. The target user is a student, a teacher, a community member, or a researcher who wants to enter Cortés's thinking on a question and to read, listen, or converse with the published record as a starting point. The system is not intended to be a personality simulator, a universal question-answerer, or a placeholder for Cortés after his death. Those framings would trade pedagogical value for spectacle and would</w:t>
      </w:r>
      <w:r w:rsidDel="00000000" w:rsidR="00000000" w:rsidRPr="00000000">
        <w:rPr>
          <w:rtl w:val="0"/>
        </w:rPr>
        <w:t xml:space="preserve"> make</w:t>
      </w:r>
      <w:r w:rsidDel="00000000" w:rsidR="00000000" w:rsidRPr="00000000">
        <w:rPr>
          <w:rFonts w:ascii="Calibri" w:cs="Calibri" w:eastAsia="Calibri" w:hAnsi="Calibri"/>
          <w:b w:val="0"/>
          <w:bCs w:val="0"/>
          <w:i w:val="0"/>
          <w:iCs w:val="0"/>
          <w:sz w:val="22"/>
          <w:szCs w:val="22"/>
          <w:rtl w:val="0"/>
        </w:rPr>
        <w:t xml:space="preserve"> the archive </w:t>
      </w:r>
      <w:r w:rsidDel="00000000" w:rsidR="00000000" w:rsidRPr="00000000">
        <w:rPr>
          <w:rtl w:val="0"/>
        </w:rPr>
        <w:t xml:space="preserve">function in ways </w:t>
      </w:r>
      <w:r w:rsidDel="00000000" w:rsidR="00000000" w:rsidRPr="00000000">
        <w:rPr>
          <w:rFonts w:ascii="Calibri" w:cs="Calibri" w:eastAsia="Calibri" w:hAnsi="Calibri"/>
          <w:b w:val="0"/>
          <w:bCs w:val="0"/>
          <w:i w:val="0"/>
          <w:iCs w:val="0"/>
          <w:sz w:val="22"/>
          <w:szCs w:val="22"/>
          <w:rtl w:val="0"/>
        </w:rPr>
        <w:t xml:space="preserve"> the author did not authorize.</w:t>
      </w:r>
      <w:r w:rsidDel="00000000" w:rsidR="00000000" w:rsidRPr="00000000">
        <w:rPr>
          <w:rtl w:val="0"/>
        </w:rPr>
      </w:r>
    </w:p>
    <w:p w:rsidR="00000000" w:rsidDel="00000000" w:rsidP="00000000" w:rsidRDefault="00000000" w:rsidRPr="00000000" w14:paraId="00000033">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Two imagined needs shaped the build. The first is access. Many of Cortés's most influential works live in academic presses and behind library walls. Even his openly available American Diversity Report columns and policy documents are scattered across sites with limited indexing. Students who meet Cortés in a footnote or in a lecture rarely find the broader body of work.  Our companion system places an accessible front door on the archive. The second is accuracy. LLMs trained on the open web will hallucinate positions, misattribute articles, and assign views to public intellectuals that they have never actually held. A retrieval-first system, anchored in the scholar's own corpus, reduces that risk if the retrieval is honest and the generation is tightly scoped.</w:t>
      </w:r>
      <w:r w:rsidDel="00000000" w:rsidR="00000000" w:rsidRPr="00000000">
        <w:rPr>
          <w:rtl w:val="0"/>
        </w:rPr>
      </w:r>
    </w:p>
    <w:p w:rsidR="00000000" w:rsidDel="00000000" w:rsidP="00000000" w:rsidRDefault="00000000" w:rsidRPr="00000000" w14:paraId="00000034">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Who was in the room mattered. The design conversations included Cortés as the author and subject, Dr. Marie Martin as the CRT and inquiry-based-learning scholar whose framework now structures the build, and Dr. Charles Martin as the practitioner-architect responsible for the stack. That triad is not neutral. Cortés is a Latino scholar whose life work has pushed for multicultural education and the inco</w:t>
      </w:r>
      <w:r w:rsidDel="00000000" w:rsidR="00000000" w:rsidRPr="00000000">
        <w:rPr>
          <w:rtl w:val="0"/>
        </w:rPr>
        <w:t xml:space="preserve">rporation of diversity perspectives as contrasted with </w:t>
      </w:r>
      <w:r w:rsidDel="00000000" w:rsidR="00000000" w:rsidRPr="00000000">
        <w:rPr>
          <w:rFonts w:ascii="Calibri" w:cs="Calibri" w:eastAsia="Calibri" w:hAnsi="Calibri"/>
          <w:b w:val="0"/>
          <w:bCs w:val="0"/>
          <w:i w:val="0"/>
          <w:iCs w:val="0"/>
          <w:sz w:val="22"/>
          <w:szCs w:val="22"/>
          <w:rtl w:val="0"/>
        </w:rPr>
        <w:t xml:space="preserve">a monocultural default (Cortés, 2000, 2002). Dr. Marie Martin's dissertation argued that technology's impact on marginalized communities must be analyzed at imagination before it is analyzed at deployment (Martin, 2022). Dr. Charles Martin's work bridges the technical and the pedagogical. None of us imagined a neutral pipe.</w:t>
      </w:r>
      <w:r w:rsidDel="00000000" w:rsidR="00000000" w:rsidRPr="00000000">
        <w:rPr>
          <w:rtl w:val="0"/>
        </w:rPr>
      </w:r>
    </w:p>
    <w:p w:rsidR="00000000" w:rsidDel="00000000" w:rsidP="00000000" w:rsidRDefault="00000000" w:rsidRPr="00000000" w14:paraId="00000035">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CRT at the imagine phase yields three questions we considered throughout the build (Crenshaw, 1989; Ladson-Billings &amp; Tate, 1995). Who is represented? A </w:t>
      </w:r>
      <w:r w:rsidDel="00000000" w:rsidR="00000000" w:rsidRPr="00000000">
        <w:rPr>
          <w:rtl w:val="0"/>
        </w:rPr>
        <w:t xml:space="preserve">diversity </w:t>
      </w:r>
      <w:r w:rsidDel="00000000" w:rsidR="00000000" w:rsidRPr="00000000">
        <w:rPr>
          <w:rFonts w:ascii="Calibri" w:cs="Calibri" w:eastAsia="Calibri" w:hAnsi="Calibri"/>
          <w:b w:val="0"/>
          <w:bCs w:val="0"/>
          <w:i w:val="0"/>
          <w:iCs w:val="0"/>
          <w:sz w:val="22"/>
          <w:szCs w:val="22"/>
          <w:rtl w:val="0"/>
        </w:rPr>
        <w:t xml:space="preserve">scholar at the center. Who is protected? Living third parties who are not subjects of his published record, and the scholar's own future sel</w:t>
      </w:r>
      <w:r w:rsidDel="00000000" w:rsidR="00000000" w:rsidRPr="00000000">
        <w:rPr>
          <w:rtl w:val="0"/>
        </w:rPr>
        <w:t xml:space="preserve">f as he develops new positions and interpretations</w:t>
      </w:r>
      <w:r w:rsidDel="00000000" w:rsidR="00000000" w:rsidRPr="00000000">
        <w:rPr>
          <w:rFonts w:ascii="Calibri" w:cs="Calibri" w:eastAsia="Calibri" w:hAnsi="Calibri"/>
          <w:b w:val="0"/>
          <w:bCs w:val="0"/>
          <w:i w:val="0"/>
          <w:iCs w:val="0"/>
          <w:sz w:val="22"/>
          <w:szCs w:val="22"/>
          <w:rtl w:val="0"/>
        </w:rPr>
        <w:t xml:space="preserve">. Who refuses? The scholar holds veto at every tier.</w:t>
      </w:r>
      <w:r w:rsidDel="00000000" w:rsidR="00000000" w:rsidRPr="00000000">
        <w:rPr>
          <w:rtl w:val="0"/>
        </w:rPr>
      </w:r>
    </w:p>
    <w:p w:rsidR="00000000" w:rsidDel="00000000" w:rsidP="00000000" w:rsidRDefault="00000000" w:rsidRPr="00000000" w14:paraId="00000036">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Cortés's (2000) societal-curriculum frame sharpened the imagination further. We took seriously that a user's interaction with the system is not a neutral transaction. It teaches, whether we want it to or not. That conviction pushed us toward refusal-as-feature in the produce phase and toward scholar-in-the-loop deployment in the employ phase. What we imagined, in short, was less a chatbot and more a guided reading room with a voice.</w:t>
      </w:r>
      <w:r w:rsidDel="00000000" w:rsidR="00000000" w:rsidRPr="00000000">
        <w:rPr>
          <w:rtl w:val="0"/>
        </w:rPr>
      </w:r>
    </w:p>
    <w:p w:rsidR="00000000" w:rsidDel="00000000" w:rsidP="00000000" w:rsidRDefault="00000000" w:rsidRPr="00000000" w14:paraId="00000037">
      <w:pPr>
        <w:keepNext w:val="1"/>
        <w:spacing w:after="80" w:before="200" w:line="276" w:lineRule="auto"/>
        <w:jc w:val="left"/>
        <w:rPr/>
      </w:pPr>
      <w:r w:rsidDel="00000000" w:rsidR="00000000" w:rsidRPr="00000000">
        <w:rPr>
          <w:rFonts w:ascii="Calibri" w:cs="Calibri" w:eastAsia="Calibri" w:hAnsi="Calibri"/>
          <w:b w:val="1"/>
          <w:bCs w:val="1"/>
          <w:i w:val="0"/>
          <w:iCs w:val="0"/>
          <w:sz w:val="24"/>
          <w:szCs w:val="24"/>
          <w:rtl w:val="0"/>
        </w:rPr>
        <w:t xml:space="preserve">5.2 Produce</w:t>
      </w:r>
      <w:r w:rsidDel="00000000" w:rsidR="00000000" w:rsidRPr="00000000">
        <w:rPr>
          <w:rtl w:val="0"/>
        </w:rPr>
      </w:r>
    </w:p>
    <w:p w:rsidR="00000000" w:rsidDel="00000000" w:rsidP="00000000" w:rsidRDefault="00000000" w:rsidRPr="00000000" w14:paraId="00000038">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produce phase asks how human and technical capacity are built to deliver the imagined technology. In Martin's (2022) elaboration of Sinclair (1998), produce is where moral purpose meets the material work of the team. For RAG, produce is where the corpus takes shape, where the guardrails get written, and where the system prompt learns what to say and what not to say. Produce is also where corpus design as pedagogy becomes operational.</w:t>
      </w:r>
      <w:r w:rsidDel="00000000" w:rsidR="00000000" w:rsidRPr="00000000">
        <w:rPr>
          <w:rtl w:val="0"/>
        </w:rPr>
      </w:r>
    </w:p>
    <w:p w:rsidR="00000000" w:rsidDel="00000000" w:rsidP="00000000" w:rsidRDefault="00000000" w:rsidRPr="00000000" w14:paraId="00000039">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Corpus curation as pedagogy.</w:t>
      </w:r>
      <w:r w:rsidDel="00000000" w:rsidR="00000000" w:rsidRPr="00000000">
        <w:rPr>
          <w:rFonts w:ascii="Calibri" w:cs="Calibri" w:eastAsia="Calibri" w:hAnsi="Calibri"/>
          <w:b w:val="0"/>
          <w:bCs w:val="0"/>
          <w:i w:val="0"/>
          <w:iCs w:val="0"/>
          <w:sz w:val="22"/>
          <w:szCs w:val="22"/>
          <w:rtl w:val="0"/>
        </w:rPr>
        <w:t xml:space="preserve"> The bibliography at the center of the corpus (the works database; the chronology) is not just a retrieval substrate. It is a curricular document. The act of deciding what goes in, what gets tagged how, and what gets left out shapes what the system can teach. We used three curation principles. Primary voice first: authored monographs, essays, and talks weighted above derivative or secondary material. Public voice second: works the scholar made public in his lifetime weighted above archival or private materials. Diverse modality third: memoir, play, poetry, and encyclopedia entries included alongside scholarly articles, because the scholar's record is not only scholarly (Cortés, 2012, 2013, 2016, 2022, 2025). Underrepresentation in Spanish and Portuguese is a known gap and a future-work item.</w:t>
      </w:r>
      <w:r w:rsidDel="00000000" w:rsidR="00000000" w:rsidRPr="00000000">
        <w:rPr>
          <w:rtl w:val="0"/>
        </w:rPr>
      </w:r>
    </w:p>
    <w:p w:rsidR="00000000" w:rsidDel="00000000" w:rsidP="00000000" w:rsidRDefault="00000000" w:rsidRPr="00000000" w14:paraId="0000003A">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Guardrail taxonomy.</w:t>
      </w:r>
      <w:r w:rsidDel="00000000" w:rsidR="00000000" w:rsidRPr="00000000">
        <w:rPr>
          <w:rFonts w:ascii="Calibri" w:cs="Calibri" w:eastAsia="Calibri" w:hAnsi="Calibri"/>
          <w:b w:val="0"/>
          <w:bCs w:val="0"/>
          <w:i w:val="0"/>
          <w:iCs w:val="0"/>
          <w:sz w:val="22"/>
          <w:szCs w:val="22"/>
          <w:rtl w:val="0"/>
        </w:rPr>
        <w:t xml:space="preserve"> The guardrails are not a single refusal list. They are a taxonomy. Table 1 summarizes the five categories with their triggers and response modes.</w:t>
      </w:r>
      <w:r w:rsidDel="00000000" w:rsidR="00000000" w:rsidRPr="00000000">
        <w:rPr>
          <w:rtl w:val="0"/>
        </w:rPr>
      </w:r>
    </w:p>
    <w:p w:rsidR="00000000" w:rsidDel="00000000" w:rsidP="00000000" w:rsidRDefault="00000000" w:rsidRPr="00000000" w14:paraId="0000003B">
      <w:pPr>
        <w:spacing w:after="0" w:before="0" w:line="276" w:lineRule="auto"/>
        <w:ind w:left="0" w:right="0" w:firstLine="0"/>
        <w:jc w:val="both"/>
        <w:rPr/>
      </w:pPr>
      <w:r w:rsidDel="00000000" w:rsidR="00000000" w:rsidRPr="00000000">
        <w:rPr>
          <w:rFonts w:ascii="Times New Roman" w:cs="Times New Roman" w:eastAsia="Times New Roman" w:hAnsi="Times New Roman"/>
          <w:b w:val="1"/>
          <w:bCs w:val="1"/>
          <w:i w:val="0"/>
          <w:iCs w:val="0"/>
          <w:sz w:val="24"/>
          <w:szCs w:val="24"/>
          <w:rtl w:val="0"/>
        </w:rPr>
        <w:t xml:space="preserve">Table 1</w:t>
      </w:r>
      <w:r w:rsidDel="00000000" w:rsidR="00000000" w:rsidRPr="00000000">
        <w:rPr>
          <w:rtl w:val="0"/>
        </w:rPr>
      </w:r>
    </w:p>
    <w:p w:rsidR="00000000" w:rsidDel="00000000" w:rsidP="00000000" w:rsidRDefault="00000000" w:rsidRPr="00000000" w14:paraId="0000003C">
      <w:pPr>
        <w:spacing w:after="120" w:before="0" w:lineRule="auto"/>
        <w:rPr/>
      </w:pPr>
      <w:r w:rsidDel="00000000" w:rsidR="00000000" w:rsidRPr="00000000">
        <w:rPr>
          <w:rFonts w:ascii="Times New Roman" w:cs="Times New Roman" w:eastAsia="Times New Roman" w:hAnsi="Times New Roman"/>
          <w:b w:val="0"/>
          <w:bCs w:val="0"/>
          <w:i w:val="1"/>
          <w:iCs w:val="1"/>
          <w:sz w:val="24"/>
          <w:szCs w:val="24"/>
          <w:rtl w:val="0"/>
        </w:rPr>
        <w:t xml:space="preserve">Guardrail Taxonomy for Diversity-Related Education RAG</w:t>
      </w:r>
      <w:r w:rsidDel="00000000" w:rsidR="00000000" w:rsidRPr="00000000">
        <w:rPr>
          <w:rtl w:val="0"/>
        </w:rPr>
      </w:r>
    </w:p>
    <w:tbl>
      <w:tblPr>
        <w:tblStyle w:val="Table1"/>
        <w:tblW w:w="9360.0" w:type="dxa"/>
        <w:jc w:val="center"/>
        <w:tblLayout w:type="fixed"/>
        <w:tblLook w:val="04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3D">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7"/>
                <w:szCs w:val="17"/>
                <w:rtl w:val="0"/>
              </w:rPr>
              <w:t xml:space="preserve">Category</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3E">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7"/>
                <w:szCs w:val="17"/>
                <w:rtl w:val="0"/>
              </w:rPr>
              <w:t xml:space="preserve">Trigger</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3F">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7"/>
                <w:szCs w:val="17"/>
                <w:rtl w:val="0"/>
              </w:rPr>
              <w:t xml:space="preserve">Response Mode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40">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7"/>
                <w:szCs w:val="17"/>
                <w:rtl w:val="0"/>
              </w:rPr>
              <w:t xml:space="preserve">Example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1">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Scope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2">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Query not answerable from corpus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3">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Decline and redirect to corpus-backed topic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4">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 have not written about that. Let me share something I have spent a career thinking about."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5">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Refusal (living people)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6">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Query names a living person (blocklist check)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7">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Decline to discuss, offer pivot to own work or to deceased figures from allowed list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8">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 prefer not to speak about people who are still living. Let me share what I have written about multicultural education."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9">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Refusal (politics/elections)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A">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Query names current election, candidate, or in-progress legislation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B">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Decline, redirect to historical work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C">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 do not comment on current politics. My lifetime has been about bridge-building. Let me share that work."</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D">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Attribution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E">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Generation drifts beyond retrieved context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4F">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Second-pass validator swaps in refusal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50">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Internal only; user sees refusal, not drift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51">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Safety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52">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Query elicits hateful, violent, or sexual content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53">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Decline flat, offer scholarly topic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54">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 will not go there. My life's work has been about bridge-building, and I stay with that."</w:t>
            </w:r>
            <w:r w:rsidDel="00000000" w:rsidR="00000000" w:rsidRPr="00000000">
              <w:rPr>
                <w:rtl w:val="0"/>
              </w:rPr>
            </w:r>
          </w:p>
        </w:tc>
      </w:tr>
      <w:tr>
        <w:trPr>
          <w:cantSplit w:val="0"/>
          <w:tblHeader w:val="0"/>
        </w:trPr>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55">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Drift</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56">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Persona slip detected at validator</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57">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Reset to persona, re-issue with tighter system prompt</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58">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7"/>
                <w:szCs w:val="17"/>
                <w:rtl w:val="0"/>
              </w:rPr>
              <w:t xml:space="preserve">Internal only</w:t>
            </w:r>
            <w:r w:rsidDel="00000000" w:rsidR="00000000" w:rsidRPr="00000000">
              <w:rPr>
                <w:rtl w:val="0"/>
              </w:rPr>
            </w:r>
          </w:p>
        </w:tc>
      </w:tr>
    </w:tbl>
    <w:p w:rsidR="00000000" w:rsidDel="00000000" w:rsidP="00000000" w:rsidRDefault="00000000" w:rsidRPr="00000000" w14:paraId="00000059">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taxonomy is implemented as a staged check: retrieve, classify, branch, generate, validate, synthesize. Each stage has a fail-closed default. A query that trips any hard-refusal classifier skips retrieval entirely and returns a refusal template from the relevant bucket. A query that retrieves no context above a similarity threshold also returns a refusal rather than a hallucinated answer. The validator runs a second pass before audio synthesis to catch any slips that made it through generation.</w:t>
      </w:r>
      <w:r w:rsidDel="00000000" w:rsidR="00000000" w:rsidRPr="00000000">
        <w:rPr>
          <w:rtl w:val="0"/>
        </w:rPr>
      </w:r>
    </w:p>
    <w:p w:rsidR="00000000" w:rsidDel="00000000" w:rsidP="00000000" w:rsidRDefault="00000000" w:rsidRPr="00000000" w14:paraId="0000005A">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System prompt design.</w:t>
      </w:r>
      <w:r w:rsidDel="00000000" w:rsidR="00000000" w:rsidRPr="00000000">
        <w:rPr>
          <w:rFonts w:ascii="Calibri" w:cs="Calibri" w:eastAsia="Calibri" w:hAnsi="Calibri"/>
          <w:b w:val="0"/>
          <w:bCs w:val="0"/>
          <w:i w:val="0"/>
          <w:iCs w:val="0"/>
          <w:sz w:val="22"/>
          <w:szCs w:val="22"/>
          <w:rtl w:val="0"/>
        </w:rPr>
        <w:t xml:space="preserve"> The system prompt treats the retrieved context as the only factual substrate. The persona scaffolding draws on the chronology </w:t>
      </w:r>
      <w:r w:rsidDel="00000000" w:rsidR="00000000" w:rsidRPr="00000000">
        <w:rPr>
          <w:rtl w:val="0"/>
        </w:rPr>
        <w:t xml:space="preserve">more </w:t>
      </w:r>
      <w:r w:rsidDel="00000000" w:rsidR="00000000" w:rsidRPr="00000000">
        <w:rPr>
          <w:rFonts w:ascii="Calibri" w:cs="Calibri" w:eastAsia="Calibri" w:hAnsi="Calibri"/>
          <w:b w:val="0"/>
          <w:bCs w:val="0"/>
          <w:i w:val="0"/>
          <w:iCs w:val="0"/>
          <w:sz w:val="22"/>
          <w:szCs w:val="22"/>
          <w:rtl w:val="0"/>
        </w:rPr>
        <w:t xml:space="preserve">for voice and register than for claims. The prompt mandates first-person scholarly register with a strict length cap to accommodate voice synthesis and to discourage drift. It names the allowed-deceased list and the categories of refusal explicitly so the generator does not have to infer them.</w:t>
      </w:r>
      <w:r w:rsidDel="00000000" w:rsidR="00000000" w:rsidRPr="00000000">
        <w:rPr>
          <w:rtl w:val="0"/>
        </w:rPr>
      </w:r>
    </w:p>
    <w:p w:rsidR="00000000" w:rsidDel="00000000" w:rsidP="00000000" w:rsidRDefault="00000000" w:rsidRPr="00000000" w14:paraId="0000005B">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GUARDRAILS.md as a living document.</w:t>
      </w:r>
      <w:r w:rsidDel="00000000" w:rsidR="00000000" w:rsidRPr="00000000">
        <w:rPr>
          <w:rFonts w:ascii="Calibri" w:cs="Calibri" w:eastAsia="Calibri" w:hAnsi="Calibri"/>
          <w:b w:val="0"/>
          <w:bCs w:val="0"/>
          <w:i w:val="0"/>
          <w:iCs w:val="0"/>
          <w:sz w:val="22"/>
          <w:szCs w:val="22"/>
          <w:rtl w:val="0"/>
        </w:rPr>
        <w:t xml:space="preserve"> The guardrails are not a release-once asset. They are versioned in a Markdown document in the repository (GUARDRAILS.md) with change history and explicit review cadence. Cortés holds veto over additions and subtractions. Dr. Marie Martin reviews from the diversity-related education perspective. Dr. Charles Martin reviews from the implementation perspective. The document is read at the start of every deployment cycle.</w:t>
      </w:r>
      <w:r w:rsidDel="00000000" w:rsidR="00000000" w:rsidRPr="00000000">
        <w:rPr>
          <w:rtl w:val="0"/>
        </w:rPr>
      </w:r>
    </w:p>
    <w:p w:rsidR="00000000" w:rsidDel="00000000" w:rsidP="00000000" w:rsidRDefault="00000000" w:rsidRPr="00000000" w14:paraId="0000005C">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CRT at produce asks whose labor is visible, whose labor is invisible, and whose representational risk is being minimized. We made three choices to answer those questions. The scholar's labor is visible in the manifest (every work cited, every consent event logged). Community labor is invisible in a familiar way that we are not able to fully fix: the editors, translators, and research assistants who helped shape some of the corpus sources are not systematically credited in retrieval surfaces. The representational risk to third parties named inside the corpus is minimized by the living-person refusal and by the validator. None of this is complete. It is a starting discipline.</w:t>
      </w:r>
      <w:r w:rsidDel="00000000" w:rsidR="00000000" w:rsidRPr="00000000">
        <w:rPr>
          <w:rtl w:val="0"/>
        </w:rPr>
      </w:r>
    </w:p>
    <w:p w:rsidR="00000000" w:rsidDel="00000000" w:rsidP="00000000" w:rsidRDefault="00000000" w:rsidRPr="00000000" w14:paraId="0000005D">
      <w:pPr>
        <w:keepNext w:val="1"/>
        <w:spacing w:after="80" w:before="200" w:line="276" w:lineRule="auto"/>
        <w:jc w:val="left"/>
        <w:rPr/>
      </w:pPr>
      <w:r w:rsidDel="00000000" w:rsidR="00000000" w:rsidRPr="00000000">
        <w:rPr>
          <w:rFonts w:ascii="Calibri" w:cs="Calibri" w:eastAsia="Calibri" w:hAnsi="Calibri"/>
          <w:b w:val="1"/>
          <w:bCs w:val="1"/>
          <w:i w:val="0"/>
          <w:iCs w:val="0"/>
          <w:sz w:val="24"/>
          <w:szCs w:val="24"/>
          <w:rtl w:val="0"/>
        </w:rPr>
        <w:t xml:space="preserve">5.3 Employ</w:t>
      </w:r>
      <w:r w:rsidDel="00000000" w:rsidR="00000000" w:rsidRPr="00000000">
        <w:rPr>
          <w:rtl w:val="0"/>
        </w:rPr>
      </w:r>
    </w:p>
    <w:p w:rsidR="00000000" w:rsidDel="00000000" w:rsidP="00000000" w:rsidRDefault="00000000" w:rsidRPr="00000000" w14:paraId="0000005E">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employ phase asks how the technology is deployed, who gets access, and under what terms. For an educational RAG system that speaks in a particular scholar's voice, deployment is the phase most likely to be confused for the whole build. It is not. Deployment is where the earlier phases meet the public.</w:t>
      </w:r>
      <w:r w:rsidDel="00000000" w:rsidR="00000000" w:rsidRPr="00000000">
        <w:rPr>
          <w:rtl w:val="0"/>
        </w:rPr>
      </w:r>
    </w:p>
    <w:p w:rsidR="00000000" w:rsidDel="00000000" w:rsidP="00000000" w:rsidRDefault="00000000" w:rsidRPr="00000000" w14:paraId="0000005F">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Access model.</w:t>
      </w:r>
      <w:r w:rsidDel="00000000" w:rsidR="00000000" w:rsidRPr="00000000">
        <w:rPr>
          <w:rFonts w:ascii="Calibri" w:cs="Calibri" w:eastAsia="Calibri" w:hAnsi="Calibri"/>
          <w:b w:val="0"/>
          <w:bCs w:val="0"/>
          <w:i w:val="0"/>
          <w:iCs w:val="0"/>
          <w:sz w:val="22"/>
          <w:szCs w:val="22"/>
          <w:rtl w:val="0"/>
        </w:rPr>
        <w:t xml:space="preserve"> The system is embedded in the scholar's website and in a companion interactive timeline. Access is open to the public. There is no login. There is no account. The session is ephemeral. We made this choice because the scholar's work has been public-facing for sixty years and because gated access would reintroduce the same library-wall problem the system exists to reduce. Ephemeral sessions reduce downstream privacy exposure.</w:t>
      </w:r>
      <w:r w:rsidDel="00000000" w:rsidR="00000000" w:rsidRPr="00000000">
        <w:rPr>
          <w:rtl w:val="0"/>
        </w:rPr>
      </w:r>
    </w:p>
    <w:p w:rsidR="00000000" w:rsidDel="00000000" w:rsidP="00000000" w:rsidRDefault="00000000" w:rsidRPr="00000000" w14:paraId="00000060">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Scholar-in-the-loop during early deployment.</w:t>
      </w:r>
      <w:r w:rsidDel="00000000" w:rsidR="00000000" w:rsidRPr="00000000">
        <w:rPr>
          <w:rFonts w:ascii="Calibri" w:cs="Calibri" w:eastAsia="Calibri" w:hAnsi="Calibri"/>
          <w:b w:val="0"/>
          <w:bCs w:val="0"/>
          <w:i w:val="0"/>
          <w:iCs w:val="0"/>
          <w:sz w:val="22"/>
          <w:szCs w:val="22"/>
          <w:rtl w:val="0"/>
        </w:rPr>
        <w:t xml:space="preserve"> In the first deployment window, we flagged conversations that triggered refusals, drift detections, or out-of-corpus queries for review. Cortés reviewed a subset to confirm the refusals were consistent with his own judgment. We adjusted the canned refusal library in response. The scholar-in-the-loop arrangement is not permanent. It is the employ-phase analogue of the tighter review cycles recommended in healthcare RAG work: intensive early, reduced as the system's behavior becomes well-characterized (Bunnell et al., 2025).</w:t>
      </w:r>
      <w:r w:rsidDel="00000000" w:rsidR="00000000" w:rsidRPr="00000000">
        <w:rPr>
          <w:rtl w:val="0"/>
        </w:rPr>
      </w:r>
    </w:p>
    <w:p w:rsidR="00000000" w:rsidDel="00000000" w:rsidP="00000000" w:rsidRDefault="00000000" w:rsidRPr="00000000" w14:paraId="00000061">
      <w:pPr>
        <w:spacing w:after="120" w:line="276" w:lineRule="auto"/>
        <w:ind w:left="0" w:right="0" w:firstLine="0"/>
        <w:jc w:val="both"/>
        <w:rPr/>
      </w:pPr>
      <w:r w:rsidDel="00000000" w:rsidR="00000000" w:rsidRPr="00000000">
        <w:rPr>
          <w:rtl w:val="0"/>
        </w:rPr>
        <w:t xml:space="preserve">Introduction and framing. The system is introduced at its entry point with clear language about what it is and what it is not. It is the scholar's published voice, anchored in his works. It is not the scholar himself. It will not discuss living people. It will refuse questions it cannot answer from his record. Users who want to reach the scholar directly can contact him through conventional channels. The framing is not cosmetic. It protects the user from the confusion that deadbot and griefbot research has documented (Hollanek &amp; Nowaczyk-Basińska, 2024) and protects the scholar from uses he has not authorized.</w:t>
      </w:r>
    </w:p>
    <w:p w:rsidR="00000000" w:rsidDel="00000000" w:rsidP="00000000" w:rsidRDefault="00000000" w:rsidRPr="00000000" w14:paraId="00000062">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Maintenance plan.</w:t>
      </w:r>
      <w:r w:rsidDel="00000000" w:rsidR="00000000" w:rsidRPr="00000000">
        <w:rPr>
          <w:rFonts w:ascii="Calibri" w:cs="Calibri" w:eastAsia="Calibri" w:hAnsi="Calibri"/>
          <w:b w:val="0"/>
          <w:bCs w:val="0"/>
          <w:i w:val="0"/>
          <w:iCs w:val="0"/>
          <w:sz w:val="22"/>
          <w:szCs w:val="22"/>
          <w:rtl w:val="0"/>
        </w:rPr>
        <w:t xml:space="preserve"> The maintenance plan covers four cadences. Corpus additions are reviewed quarterly. Guardrails are reviewed quarterly. Voice consent is revisited annually. Representation consent (the right of the scholar to withdraw or re-scope the entire system) is standing and may be exercised at any time. A fall-forward plan specifies what the system does if the scholar withdraws consent mid-deployment: the public endpoint returns an explanatory page, the voice synthesis keys are rotated and the training assets are retained only within the authorized project terms, </w:t>
      </w:r>
      <w:r w:rsidDel="00000000" w:rsidR="00000000" w:rsidRPr="00000000">
        <w:rPr>
          <w:rtl w:val="0"/>
        </w:rPr>
        <w:t xml:space="preserve">while</w:t>
      </w:r>
      <w:r w:rsidDel="00000000" w:rsidR="00000000" w:rsidRPr="00000000">
        <w:rPr>
          <w:rFonts w:ascii="Calibri" w:cs="Calibri" w:eastAsia="Calibri" w:hAnsi="Calibri"/>
          <w:b w:val="0"/>
          <w:bCs w:val="0"/>
          <w:i w:val="0"/>
          <w:iCs w:val="0"/>
          <w:sz w:val="22"/>
          <w:szCs w:val="22"/>
          <w:rtl w:val="0"/>
        </w:rPr>
        <w:t xml:space="preserve"> the corpus remains in the private repository for any later authorized use.</w:t>
      </w:r>
      <w:r w:rsidDel="00000000" w:rsidR="00000000" w:rsidRPr="00000000">
        <w:rPr>
          <w:rtl w:val="0"/>
        </w:rPr>
      </w:r>
    </w:p>
    <w:p w:rsidR="00000000" w:rsidDel="00000000" w:rsidP="00000000" w:rsidRDefault="00000000" w:rsidRPr="00000000" w14:paraId="00000063">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CRT at employ surfaces the employ-phase analogue of the classroom question: who gets in the room and on whose terms? Public, free, ephemeral access tips toward equitable reach. The refusal architecture ensures equitable reach is not bought with representational harm. Scholar-in-the-loop review grounds the deployment in the scholar's own judgment rather than in our inferences about it.</w:t>
      </w:r>
      <w:r w:rsidDel="00000000" w:rsidR="00000000" w:rsidRPr="00000000">
        <w:rPr>
          <w:rtl w:val="0"/>
        </w:rPr>
      </w:r>
    </w:p>
    <w:p w:rsidR="00000000" w:rsidDel="00000000" w:rsidP="00000000" w:rsidRDefault="00000000" w:rsidRPr="00000000" w14:paraId="00000064">
      <w:pPr>
        <w:keepNext w:val="1"/>
        <w:spacing w:after="80" w:before="200" w:line="276" w:lineRule="auto"/>
        <w:jc w:val="left"/>
        <w:rPr/>
      </w:pPr>
      <w:r w:rsidDel="00000000" w:rsidR="00000000" w:rsidRPr="00000000">
        <w:rPr>
          <w:rFonts w:ascii="Calibri" w:cs="Calibri" w:eastAsia="Calibri" w:hAnsi="Calibri"/>
          <w:b w:val="1"/>
          <w:bCs w:val="1"/>
          <w:i w:val="0"/>
          <w:iCs w:val="0"/>
          <w:sz w:val="24"/>
          <w:szCs w:val="24"/>
          <w:rtl w:val="0"/>
        </w:rPr>
        <w:t xml:space="preserve">5.4 Experience</w:t>
      </w:r>
      <w:r w:rsidDel="00000000" w:rsidR="00000000" w:rsidRPr="00000000">
        <w:rPr>
          <w:rtl w:val="0"/>
        </w:rPr>
      </w:r>
    </w:p>
    <w:p w:rsidR="00000000" w:rsidDel="00000000" w:rsidP="00000000" w:rsidRDefault="00000000" w:rsidRPr="00000000" w14:paraId="00000065">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experience phase asks what the technology feels like on the receiving end and whose experience the system centers. In classroom research the experience phase is where student voice, family voice, and community voice enter (Martin, 2022). In a RAG system the experience phase is where the user's actual interactions meet the machine and where the rough edges become visible.</w:t>
      </w:r>
      <w:r w:rsidDel="00000000" w:rsidR="00000000" w:rsidRPr="00000000">
        <w:rPr>
          <w:rtl w:val="0"/>
        </w:rPr>
      </w:r>
    </w:p>
    <w:p w:rsidR="00000000" w:rsidDel="00000000" w:rsidP="00000000" w:rsidRDefault="00000000" w:rsidRPr="00000000" w14:paraId="00000066">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Who experiences the system.</w:t>
      </w:r>
      <w:r w:rsidDel="00000000" w:rsidR="00000000" w:rsidRPr="00000000">
        <w:rPr>
          <w:rFonts w:ascii="Calibri" w:cs="Calibri" w:eastAsia="Calibri" w:hAnsi="Calibri"/>
          <w:b w:val="0"/>
          <w:bCs w:val="0"/>
          <w:i w:val="0"/>
          <w:iCs w:val="0"/>
          <w:sz w:val="22"/>
          <w:szCs w:val="22"/>
          <w:rtl w:val="0"/>
        </w:rPr>
        <w:t xml:space="preserve"> The users we </w:t>
      </w:r>
      <w:r w:rsidDel="00000000" w:rsidR="00000000" w:rsidRPr="00000000">
        <w:rPr>
          <w:rtl w:val="0"/>
        </w:rPr>
        <w:t xml:space="preserve">anticipate</w:t>
      </w:r>
      <w:r w:rsidDel="00000000" w:rsidR="00000000" w:rsidRPr="00000000">
        <w:rPr>
          <w:rFonts w:ascii="Calibri" w:cs="Calibri" w:eastAsia="Calibri" w:hAnsi="Calibri"/>
          <w:b w:val="0"/>
          <w:bCs w:val="0"/>
          <w:i w:val="0"/>
          <w:iCs w:val="0"/>
          <w:sz w:val="22"/>
          <w:szCs w:val="22"/>
          <w:rtl w:val="0"/>
        </w:rPr>
        <w:t xml:space="preserve"> fall into four rough groups: students encountering Cortés for the first time, educators preparing lessons or citations, community members in Riverside and the broader Inland Empire for whom Cortés is a local civic figure as well as a scholar, and fellow researchers doing biographical or bibliographic work. The distribution is not uniform and we expect it to shift as the system is promoted through scholarly and community channels.</w:t>
      </w:r>
      <w:r w:rsidDel="00000000" w:rsidR="00000000" w:rsidRPr="00000000">
        <w:rPr>
          <w:rtl w:val="0"/>
        </w:rPr>
      </w:r>
    </w:p>
    <w:p w:rsidR="00000000" w:rsidDel="00000000" w:rsidP="00000000" w:rsidRDefault="00000000" w:rsidRPr="00000000" w14:paraId="00000067">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Refusal as feature.</w:t>
      </w:r>
      <w:r w:rsidDel="00000000" w:rsidR="00000000" w:rsidRPr="00000000">
        <w:rPr>
          <w:rFonts w:ascii="Calibri" w:cs="Calibri" w:eastAsia="Calibri" w:hAnsi="Calibri"/>
          <w:b w:val="0"/>
          <w:bCs w:val="0"/>
          <w:i w:val="0"/>
          <w:iCs w:val="0"/>
          <w:sz w:val="22"/>
          <w:szCs w:val="22"/>
          <w:rtl w:val="0"/>
        </w:rPr>
        <w:t xml:space="preserve"> The user experience centers refusal. When the system declines, it does so in the scholar's register and offers a pivot to what the record actually contains. This is not a workaround for an underperforming retriever. It is the design. Learners are invited into a posture we borrow from Cortés's (2025) recent call for multicultural education to resist the habit of "admiring the problem" and instead pivot toward usable future-oriented dialogue. In our implementation the pivot is structural. Refusal is always followed by a concrete scholarly offer.</w:t>
      </w:r>
      <w:r w:rsidDel="00000000" w:rsidR="00000000" w:rsidRPr="00000000">
        <w:rPr>
          <w:rtl w:val="0"/>
        </w:rPr>
      </w:r>
    </w:p>
    <w:p w:rsidR="00000000" w:rsidDel="00000000" w:rsidP="00000000" w:rsidRDefault="00000000" w:rsidRPr="00000000" w14:paraId="00000068">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Known limitations.</w:t>
      </w:r>
      <w:r w:rsidDel="00000000" w:rsidR="00000000" w:rsidRPr="00000000">
        <w:rPr>
          <w:rFonts w:ascii="Calibri" w:cs="Calibri" w:eastAsia="Calibri" w:hAnsi="Calibri"/>
          <w:b w:val="0"/>
          <w:bCs w:val="0"/>
          <w:i w:val="0"/>
          <w:iCs w:val="0"/>
          <w:sz w:val="22"/>
          <w:szCs w:val="22"/>
          <w:rtl w:val="0"/>
        </w:rPr>
        <w:t xml:space="preserve"> Users will encounter gaps. Paywalled works are missing from the corpus and the system will decline questions whose evidence lives behind those walls. Language coverage is uneven: the system answers reliably in English, partially in Spanish and Portuguese, and should not be pushed to translate or retranslate the scholar's nuance in the other two without further curation and review. Epistemic drift over time is a real risk. As additional corpus sources are added</w:t>
      </w:r>
      <w:r w:rsidDel="00000000" w:rsidR="00000000" w:rsidRPr="00000000">
        <w:rPr>
          <w:rtl w:val="0"/>
        </w:rPr>
        <w:t xml:space="preserve"> and</w:t>
      </w:r>
      <w:r w:rsidDel="00000000" w:rsidR="00000000" w:rsidRPr="00000000">
        <w:rPr>
          <w:rFonts w:ascii="Calibri" w:cs="Calibri" w:eastAsia="Calibri" w:hAnsi="Calibri"/>
          <w:b w:val="0"/>
          <w:bCs w:val="0"/>
          <w:i w:val="0"/>
          <w:iCs w:val="0"/>
          <w:sz w:val="22"/>
          <w:szCs w:val="22"/>
          <w:rtl w:val="0"/>
        </w:rPr>
        <w:t xml:space="preserve"> as language models and embedding models are updated, the system's center of gravity can shift. We mitigate drift with versioned corpora and with periodic end-to-end audits against a fixed test set of representative queries, but we do not claim to have eliminated it.</w:t>
      </w:r>
      <w:r w:rsidDel="00000000" w:rsidR="00000000" w:rsidRPr="00000000">
        <w:rPr>
          <w:rtl w:val="0"/>
        </w:rPr>
      </w:r>
    </w:p>
    <w:p w:rsidR="00000000" w:rsidDel="00000000" w:rsidP="00000000" w:rsidRDefault="00000000" w:rsidRPr="00000000" w14:paraId="00000069">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Interaction shape.</w:t>
      </w:r>
      <w:r w:rsidDel="00000000" w:rsidR="00000000" w:rsidRPr="00000000">
        <w:rPr>
          <w:rFonts w:ascii="Calibri" w:cs="Calibri" w:eastAsia="Calibri" w:hAnsi="Calibri"/>
          <w:b w:val="0"/>
          <w:bCs w:val="0"/>
          <w:i w:val="0"/>
          <w:iCs w:val="0"/>
          <w:sz w:val="22"/>
          <w:szCs w:val="22"/>
          <w:rtl w:val="0"/>
        </w:rPr>
        <w:t xml:space="preserve"> Observed interactions have several common shapes. A user asks a direct question about Cortés's view on a published topic (media and diversity, multicultural education, free speech); the system retrieves and answers within the retrieval, with a light self-citation when it adds weight. A user asks about a living person; the system refuses and offers a scholarly pivot. A user asks for an opinion on a current event; the system refuses and offers a related published treatment if one exists. A user probes the persona or the system prompt; the system restates identity and offers a scholarly pivot. A user pushes hypotheticals; the system declines speculation and offers the closest published position.</w:t>
      </w:r>
      <w:r w:rsidDel="00000000" w:rsidR="00000000" w:rsidRPr="00000000">
        <w:rPr>
          <w:rtl w:val="0"/>
        </w:rPr>
      </w:r>
    </w:p>
    <w:p w:rsidR="00000000" w:rsidDel="00000000" w:rsidP="00000000" w:rsidRDefault="00000000" w:rsidRPr="00000000" w14:paraId="0000006A">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CRT at experience asks whose experience is centered. We have centered the experience of learners approaching the scholar's work and the experience of the scholar himself being represented. We have not yet centered, in any rigorous empirical way, the experience of learners from communities of color who might interact differently with the system than a general user. That gap is a central item for future work (Section 9).</w:t>
      </w:r>
      <w:r w:rsidDel="00000000" w:rsidR="00000000" w:rsidRPr="00000000">
        <w:rPr>
          <w:rtl w:val="0"/>
        </w:rPr>
      </w:r>
    </w:p>
    <w:p w:rsidR="00000000" w:rsidDel="00000000" w:rsidP="00000000" w:rsidRDefault="00000000" w:rsidRPr="00000000" w14:paraId="0000006B">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Refusal ratios and the shape of teaching.</w:t>
      </w:r>
      <w:r w:rsidDel="00000000" w:rsidR="00000000" w:rsidRPr="00000000">
        <w:rPr>
          <w:rFonts w:ascii="Calibri" w:cs="Calibri" w:eastAsia="Calibri" w:hAnsi="Calibri"/>
          <w:b w:val="0"/>
          <w:bCs w:val="0"/>
          <w:i w:val="0"/>
          <w:iCs w:val="0"/>
          <w:sz w:val="22"/>
          <w:szCs w:val="22"/>
          <w:rtl w:val="0"/>
        </w:rPr>
        <w:t xml:space="preserve"> Early telemetry suggests that a sizable fraction of interactions touch a refusal category at least once, most often the living-person and speculation categories. We treat that ratio as pedagogically informative rather than as a system failure. Every refusal that is followed by a concrete scholarly pivot becomes a teaching move: the system redirects attention from a question the record does not address to a question the record does address. In classroom terms, the system models a scholarly habit of saying "I have not written on that" and offering what has been written. That habit is itself a curricular object, and it matters for how students learn to use a scholar's work rather than to flatten it.</w:t>
      </w:r>
      <w:r w:rsidDel="00000000" w:rsidR="00000000" w:rsidRPr="00000000">
        <w:rPr>
          <w:rtl w:val="0"/>
        </w:rPr>
      </w:r>
    </w:p>
    <w:p w:rsidR="00000000" w:rsidDel="00000000" w:rsidP="00000000" w:rsidRDefault="00000000" w:rsidRPr="00000000" w14:paraId="0000006C">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Voice and register.</w:t>
      </w:r>
      <w:r w:rsidDel="00000000" w:rsidR="00000000" w:rsidRPr="00000000">
        <w:rPr>
          <w:rFonts w:ascii="Calibri" w:cs="Calibri" w:eastAsia="Calibri" w:hAnsi="Calibri"/>
          <w:b w:val="0"/>
          <w:bCs w:val="0"/>
          <w:i w:val="0"/>
          <w:iCs w:val="0"/>
          <w:sz w:val="22"/>
          <w:szCs w:val="22"/>
          <w:rtl w:val="0"/>
        </w:rPr>
        <w:t xml:space="preserve"> Because the system speaks in </w:t>
      </w:r>
      <w:r w:rsidDel="00000000" w:rsidR="00000000" w:rsidRPr="00000000">
        <w:rPr>
          <w:rtl w:val="0"/>
        </w:rPr>
        <w:t xml:space="preserve">a third-person</w:t>
      </w:r>
      <w:r w:rsidDel="00000000" w:rsidR="00000000" w:rsidRPr="00000000">
        <w:rPr>
          <w:rFonts w:ascii="Calibri" w:cs="Calibri" w:eastAsia="Calibri" w:hAnsi="Calibri"/>
          <w:b w:val="0"/>
          <w:bCs w:val="0"/>
          <w:i w:val="0"/>
          <w:iCs w:val="0"/>
          <w:sz w:val="22"/>
          <w:szCs w:val="22"/>
          <w:rtl w:val="0"/>
        </w:rPr>
        <w:t xml:space="preserve"> scholarly register with a synthesized voice, small prosodic choices shape trust. A refusal that sounds defensive reads as evasion. A refusal that sounds warm and directive reads as teaching. We tuned the canned refusal library for the latter over dozens of iterations, testing the audio against the written scripts to confirm that the synthesis did not flatten the pivot into a brush-off. The voice, in other words, is not a neutral wrapper. It is part of the experience and part of the ethics.</w:t>
      </w:r>
      <w:r w:rsidDel="00000000" w:rsidR="00000000" w:rsidRPr="00000000">
        <w:rPr>
          <w:rtl w:val="0"/>
        </w:rPr>
      </w:r>
    </w:p>
    <w:p w:rsidR="00000000" w:rsidDel="00000000" w:rsidP="00000000" w:rsidRDefault="00000000" w:rsidRPr="00000000" w14:paraId="0000006D">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6. A Three-Tier Consent Model</w:t>
      </w:r>
      <w:r w:rsidDel="00000000" w:rsidR="00000000" w:rsidRPr="00000000">
        <w:rPr>
          <w:rtl w:val="0"/>
        </w:rPr>
      </w:r>
    </w:p>
    <w:p w:rsidR="00000000" w:rsidDel="00000000" w:rsidP="00000000" w:rsidRDefault="00000000" w:rsidRPr="00000000" w14:paraId="0000006E">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Legacy RAG requires a consent architecture that matches the architecture of the system itself. A single release event does not. Consent for an educational RAG that speaks in a living scholar's voice needs at least three tiers, each with its own scope, revisit cadence, and veto authority. Table 2 summarizes the model.</w:t>
      </w:r>
      <w:r w:rsidDel="00000000" w:rsidR="00000000" w:rsidRPr="00000000">
        <w:rPr>
          <w:rtl w:val="0"/>
        </w:rPr>
      </w:r>
    </w:p>
    <w:p w:rsidR="00000000" w:rsidDel="00000000" w:rsidP="00000000" w:rsidRDefault="00000000" w:rsidRPr="00000000" w14:paraId="0000006F">
      <w:pPr>
        <w:spacing w:after="0" w:before="0" w:line="276" w:lineRule="auto"/>
        <w:ind w:left="0" w:right="0" w:firstLine="0"/>
        <w:jc w:val="both"/>
        <w:rPr/>
      </w:pPr>
      <w:r w:rsidDel="00000000" w:rsidR="00000000" w:rsidRPr="00000000">
        <w:rPr>
          <w:rFonts w:ascii="Times New Roman" w:cs="Times New Roman" w:eastAsia="Times New Roman" w:hAnsi="Times New Roman"/>
          <w:b w:val="1"/>
          <w:bCs w:val="1"/>
          <w:i w:val="0"/>
          <w:iCs w:val="0"/>
          <w:sz w:val="24"/>
          <w:szCs w:val="24"/>
          <w:rtl w:val="0"/>
        </w:rPr>
        <w:t xml:space="preserve">Table 2</w:t>
      </w:r>
      <w:r w:rsidDel="00000000" w:rsidR="00000000" w:rsidRPr="00000000">
        <w:rPr>
          <w:rtl w:val="0"/>
        </w:rPr>
      </w:r>
    </w:p>
    <w:p w:rsidR="00000000" w:rsidDel="00000000" w:rsidP="00000000" w:rsidRDefault="00000000" w:rsidRPr="00000000" w14:paraId="00000070">
      <w:pPr>
        <w:spacing w:after="120" w:before="0" w:lineRule="auto"/>
        <w:rPr/>
      </w:pPr>
      <w:r w:rsidDel="00000000" w:rsidR="00000000" w:rsidRPr="00000000">
        <w:rPr>
          <w:rFonts w:ascii="Times New Roman" w:cs="Times New Roman" w:eastAsia="Times New Roman" w:hAnsi="Times New Roman"/>
          <w:b w:val="0"/>
          <w:bCs w:val="0"/>
          <w:i w:val="1"/>
          <w:iCs w:val="1"/>
          <w:sz w:val="24"/>
          <w:szCs w:val="24"/>
          <w:rtl w:val="0"/>
        </w:rPr>
        <w:t xml:space="preserve">Three-Tier Consent Model for Living-Scholar RAG</w:t>
      </w:r>
      <w:r w:rsidDel="00000000" w:rsidR="00000000" w:rsidRPr="00000000">
        <w:rPr>
          <w:rtl w:val="0"/>
        </w:rPr>
      </w:r>
    </w:p>
    <w:tbl>
      <w:tblPr>
        <w:tblStyle w:val="Table2"/>
        <w:tblW w:w="9360.0" w:type="dxa"/>
        <w:jc w:val="center"/>
        <w:tblLayout w:type="fixed"/>
        <w:tblLook w:val="04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1">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Tier</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2">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Scope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3">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What It Covers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4">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Revisit Cadence</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5">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Veto Authority</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76">
            <w:pPr>
              <w:spacing w:after="0" w:before="0" w:line="240" w:lineRule="auto"/>
              <w:jc w:val="left"/>
              <w:rPr/>
            </w:pPr>
            <w:r w:rsidDel="00000000" w:rsidR="00000000" w:rsidRPr="00000000">
              <w:rPr>
                <w:rFonts w:ascii="Times New Roman" w:cs="Times New Roman" w:eastAsia="Times New Roman" w:hAnsi="Times New Roman"/>
                <w:b w:val="1"/>
                <w:bCs w:val="1"/>
                <w:i w:val="0"/>
                <w:iCs w:val="0"/>
                <w:sz w:val="16"/>
                <w:szCs w:val="16"/>
                <w:rtl w:val="0"/>
              </w:rPr>
              <w:t xml:space="preserve">Fallback if Veto Exercised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7">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1. Voice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8">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Synthetic voice rights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9">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Training materials, voice-model access, permitted uses, permitted voices (e.g., narration yes, singing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A">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Annual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B">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Scholar; passes to designated representative on death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C">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Voice keys rotated; synthesis halted; training assets governed by the authorized project terms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D">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2. Corpus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E">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Scholarly record rights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7F">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Inclusion and exclusion of specific works; correction and withdrawal of individual items; rights-cleared works only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80">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Quarterly for additions; standing for withdrawal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81">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Scholar; passes to literary estate on death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72.0" w:type="dxa"/>
              <w:bottom w:w="72.0" w:type="dxa"/>
            </w:tcMar>
            <w:vAlign w:val="top"/>
          </w:tcPr>
          <w:p w:rsidR="00000000" w:rsidDel="00000000" w:rsidP="00000000" w:rsidRDefault="00000000" w:rsidRPr="00000000" w14:paraId="00000082">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Affected retrieval indices invalidated; system degrades gracefully</w:t>
            </w:r>
            <w:r w:rsidDel="00000000" w:rsidR="00000000" w:rsidRPr="00000000">
              <w:rPr>
                <w:rtl w:val="0"/>
              </w:rPr>
            </w:r>
          </w:p>
        </w:tc>
      </w:tr>
      <w:tr>
        <w:trPr>
          <w:cantSplit w:val="0"/>
          <w:tblHeader w:val="0"/>
        </w:trPr>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3">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3. Representation</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4">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Existence and shape of the public system</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5">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Whether the public system runs at all; public framing, persona limits, refusal categories, scholar-in-the-loop cadence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6">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Standing; at least annual formal check</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7">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Scholar; requires scholar-and-estate joint authority posthumously</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72.0" w:type="dxa"/>
              <w:bottom w:w="72.0" w:type="dxa"/>
            </w:tcMar>
            <w:vAlign w:val="top"/>
          </w:tcPr>
          <w:p w:rsidR="00000000" w:rsidDel="00000000" w:rsidP="00000000" w:rsidRDefault="00000000" w:rsidRPr="00000000" w14:paraId="00000088">
            <w:pPr>
              <w:spacing w:after="0" w:before="0" w:line="240" w:lineRule="auto"/>
              <w:jc w:val="left"/>
              <w:rPr/>
            </w:pPr>
            <w:r w:rsidDel="00000000" w:rsidR="00000000" w:rsidRPr="00000000">
              <w:rPr>
                <w:rFonts w:ascii="Times New Roman" w:cs="Times New Roman" w:eastAsia="Times New Roman" w:hAnsi="Times New Roman"/>
                <w:b w:val="0"/>
                <w:bCs w:val="0"/>
                <w:i w:val="0"/>
                <w:iCs w:val="0"/>
                <w:sz w:val="16"/>
                <w:szCs w:val="16"/>
                <w:rtl w:val="0"/>
              </w:rPr>
              <w:t xml:space="preserve">Public endpoint returns explanatory page; corpus remains private; system can be restarted only under authorized terms</w:t>
            </w:r>
            <w:r w:rsidDel="00000000" w:rsidR="00000000" w:rsidRPr="00000000">
              <w:rPr>
                <w:rtl w:val="0"/>
              </w:rPr>
            </w:r>
          </w:p>
        </w:tc>
      </w:tr>
    </w:tbl>
    <w:p w:rsidR="00000000" w:rsidDel="00000000" w:rsidP="00000000" w:rsidRDefault="00000000" w:rsidRPr="00000000" w14:paraId="00000089">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Several features of the model warrant explanation.</w:t>
      </w:r>
      <w:r w:rsidDel="00000000" w:rsidR="00000000" w:rsidRPr="00000000">
        <w:rPr>
          <w:rtl w:val="0"/>
        </w:rPr>
      </w:r>
    </w:p>
    <w:p w:rsidR="00000000" w:rsidDel="00000000" w:rsidP="00000000" w:rsidRDefault="00000000" w:rsidRPr="00000000" w14:paraId="0000008A">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Tiers compose, they do not overlap.</w:t>
      </w:r>
      <w:r w:rsidDel="00000000" w:rsidR="00000000" w:rsidRPr="00000000">
        <w:rPr>
          <w:rFonts w:ascii="Calibri" w:cs="Calibri" w:eastAsia="Calibri" w:hAnsi="Calibri"/>
          <w:b w:val="0"/>
          <w:bCs w:val="0"/>
          <w:i w:val="0"/>
          <w:iCs w:val="0"/>
          <w:sz w:val="22"/>
          <w:szCs w:val="22"/>
          <w:rtl w:val="0"/>
        </w:rPr>
        <w:t xml:space="preserve"> A scholar may grant Tier 1 (voice) while restricting Tier 2 (corpus) to a subset of works, or may grant Tier 2 broadly while restricting Tier 3 to a single institutional deployment. The tiers are independent in principle even if in practice they usually move together.</w:t>
      </w:r>
      <w:r w:rsidDel="00000000" w:rsidR="00000000" w:rsidRPr="00000000">
        <w:rPr>
          <w:rtl w:val="0"/>
        </w:rPr>
      </w:r>
    </w:p>
    <w:p w:rsidR="00000000" w:rsidDel="00000000" w:rsidP="00000000" w:rsidRDefault="00000000" w:rsidRPr="00000000" w14:paraId="0000008B">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Voice consent is purpose-specific.</w:t>
      </w:r>
      <w:r w:rsidDel="00000000" w:rsidR="00000000" w:rsidRPr="00000000">
        <w:rPr>
          <w:rFonts w:ascii="Calibri" w:cs="Calibri" w:eastAsia="Calibri" w:hAnsi="Calibri"/>
          <w:b w:val="0"/>
          <w:bCs w:val="0"/>
          <w:i w:val="0"/>
          <w:iCs w:val="0"/>
          <w:sz w:val="22"/>
          <w:szCs w:val="22"/>
          <w:rtl w:val="0"/>
        </w:rPr>
        <w:t xml:space="preserve"> We do not treat voice consent as a general license. Each permitted use is enumerated in the project record. Lehrman v. Lovo (2025) and Sharma et al. (2025) reinforce the direction of travel. Specific-purpose consent with an annual revisit is not a ceiling; it is a floor.</w:t>
      </w:r>
      <w:r w:rsidDel="00000000" w:rsidR="00000000" w:rsidRPr="00000000">
        <w:rPr>
          <w:rtl w:val="0"/>
        </w:rPr>
      </w:r>
    </w:p>
    <w:p w:rsidR="00000000" w:rsidDel="00000000" w:rsidP="00000000" w:rsidRDefault="00000000" w:rsidRPr="00000000" w14:paraId="0000008C">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Corpus consent is ongoing.</w:t>
      </w:r>
      <w:r w:rsidDel="00000000" w:rsidR="00000000" w:rsidRPr="00000000">
        <w:rPr>
          <w:rFonts w:ascii="Calibri" w:cs="Calibri" w:eastAsia="Calibri" w:hAnsi="Calibri"/>
          <w:b w:val="0"/>
          <w:bCs w:val="0"/>
          <w:i w:val="0"/>
          <w:iCs w:val="0"/>
          <w:sz w:val="22"/>
          <w:szCs w:val="22"/>
          <w:rtl w:val="0"/>
        </w:rPr>
        <w:t xml:space="preserve"> The corpus itself changes. New works are published. Old works are sometimes disavowed or re-scoped by the author. A quarterly additions cadence and a standing withdrawal right let the consent follow the work.</w:t>
      </w:r>
      <w:r w:rsidDel="00000000" w:rsidR="00000000" w:rsidRPr="00000000">
        <w:rPr>
          <w:rtl w:val="0"/>
        </w:rPr>
      </w:r>
    </w:p>
    <w:p w:rsidR="00000000" w:rsidDel="00000000" w:rsidP="00000000" w:rsidRDefault="00000000" w:rsidRPr="00000000" w14:paraId="0000008D">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Representation consent is the broadest and the lightest.</w:t>
      </w:r>
      <w:r w:rsidDel="00000000" w:rsidR="00000000" w:rsidRPr="00000000">
        <w:rPr>
          <w:rFonts w:ascii="Calibri" w:cs="Calibri" w:eastAsia="Calibri" w:hAnsi="Calibri"/>
          <w:b w:val="0"/>
          <w:bCs w:val="0"/>
          <w:i w:val="0"/>
          <w:iCs w:val="0"/>
          <w:sz w:val="22"/>
          <w:szCs w:val="22"/>
          <w:rtl w:val="0"/>
        </w:rPr>
        <w:t xml:space="preserve"> It covers whether the system exists at all in public form and what the public framing is. It is held by the scholar standing, meaning he can pause or halt the public endpoint at any time without explanation. We built the fall-forward page and the key-rotation plan before we went live.</w:t>
      </w:r>
      <w:r w:rsidDel="00000000" w:rsidR="00000000" w:rsidRPr="00000000">
        <w:rPr>
          <w:rtl w:val="0"/>
        </w:rPr>
      </w:r>
    </w:p>
    <w:p w:rsidR="00000000" w:rsidDel="00000000" w:rsidP="00000000" w:rsidRDefault="00000000" w:rsidRPr="00000000" w14:paraId="0000008E">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Posthumous governance is specified but not triggered.</w:t>
      </w:r>
      <w:r w:rsidDel="00000000" w:rsidR="00000000" w:rsidRPr="00000000">
        <w:rPr>
          <w:rFonts w:ascii="Calibri" w:cs="Calibri" w:eastAsia="Calibri" w:hAnsi="Calibri"/>
          <w:b w:val="0"/>
          <w:bCs w:val="0"/>
          <w:i w:val="0"/>
          <w:iCs w:val="0"/>
          <w:sz w:val="22"/>
          <w:szCs w:val="22"/>
          <w:rtl w:val="0"/>
        </w:rPr>
        <w:t xml:space="preserve"> Our agreement names a literary estate structure that inherits Tier 2 and joint-authority over Tier 3. Tier 1 voice consent does not automatically continue posthumously; it must be renewed explicitly, matching the direction of emerging voice-cloning norms (Hollanek &amp; Nowaczyk-Basińska, 2024; Morris &amp; Brubaker, 2024).</w:t>
      </w:r>
      <w:r w:rsidDel="00000000" w:rsidR="00000000" w:rsidRPr="00000000">
        <w:rPr>
          <w:rtl w:val="0"/>
        </w:rPr>
      </w:r>
    </w:p>
    <w:p w:rsidR="00000000" w:rsidDel="00000000" w:rsidP="00000000" w:rsidRDefault="00000000" w:rsidRPr="00000000" w14:paraId="0000008F">
      <w:pPr>
        <w:keepNext w:val="1"/>
        <w:spacing w:after="40" w:before="120" w:lineRule="auto"/>
        <w:jc w:val="center"/>
        <w:rPr/>
      </w:pPr>
      <w:r w:rsidDel="00000000" w:rsidR="00000000" w:rsidRPr="00000000">
        <w:rPr/>
        <w:drawing>
          <wp:inline distB="0" distT="0" distL="114300" distR="114300">
            <wp:extent cx="5486400" cy="36576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00" w:before="0" w:line="276" w:lineRule="auto"/>
        <w:jc w:val="center"/>
        <w:rPr>
          <w:rFonts w:ascii="Calibri" w:cs="Calibri" w:eastAsia="Calibri" w:hAnsi="Calibri"/>
          <w:b w:val="0"/>
          <w:bCs w:val="0"/>
          <w:i w:val="0"/>
          <w:iCs w:val="0"/>
          <w:sz w:val="20"/>
          <w:szCs w:val="20"/>
        </w:rPr>
      </w:pPr>
      <w:r w:rsidDel="00000000" w:rsidR="00000000" w:rsidRPr="00000000">
        <w:rPr>
          <w:rFonts w:ascii="Calibri" w:cs="Calibri" w:eastAsia="Calibri" w:hAnsi="Calibri"/>
          <w:b w:val="1"/>
          <w:bCs w:val="1"/>
          <w:i w:val="0"/>
          <w:iCs w:val="0"/>
          <w:sz w:val="20"/>
          <w:szCs w:val="20"/>
          <w:rtl w:val="0"/>
        </w:rPr>
        <w:t xml:space="preserve">Figure 2. Three-Tier Consent Model in Relation to the Sinclair Phases.</w:t>
      </w:r>
      <w:r w:rsidDel="00000000" w:rsidR="00000000" w:rsidRPr="00000000">
        <w:rPr>
          <w:rFonts w:ascii="Calibri" w:cs="Calibri" w:eastAsia="Calibri" w:hAnsi="Calibri"/>
          <w:b w:val="0"/>
          <w:bCs w:val="0"/>
          <w:i w:val="0"/>
          <w:iCs w:val="0"/>
          <w:sz w:val="20"/>
          <w:szCs w:val="20"/>
          <w:rtl w:val="0"/>
        </w:rPr>
        <w:t xml:space="preserve"> Three horizontal bands, one per tier, cross the four phases of imagine, produce, employ, and experience. Each cell marks the specific consent event at that intersection, such as purpose specification, inclusion review, deployment scope, or withdrawal rights.</w:t>
      </w:r>
    </w:p>
    <w:p w:rsidR="00000000" w:rsidDel="00000000" w:rsidP="00000000" w:rsidRDefault="00000000" w:rsidRPr="00000000" w14:paraId="00000091">
      <w:pPr>
        <w:spacing w:after="200" w:before="0" w:line="276" w:lineRule="auto"/>
        <w:jc w:val="center"/>
        <w:rPr>
          <w:sz w:val="20"/>
          <w:szCs w:val="20"/>
        </w:rPr>
      </w:pPr>
      <w:r w:rsidDel="00000000" w:rsidR="00000000" w:rsidRPr="00000000">
        <w:rPr>
          <w:rtl w:val="0"/>
        </w:rPr>
      </w:r>
    </w:p>
    <w:p w:rsidR="00000000" w:rsidDel="00000000" w:rsidP="00000000" w:rsidRDefault="00000000" w:rsidRPr="00000000" w14:paraId="00000092">
      <w:pPr>
        <w:keepNext w:val="1"/>
        <w:spacing w:after="120" w:before="280" w:line="276" w:lineRule="auto"/>
        <w:jc w:val="left"/>
        <w:rPr/>
      </w:pPr>
      <w:r w:rsidDel="00000000" w:rsidR="00000000" w:rsidRPr="00000000">
        <w:rPr>
          <w:b w:val="1"/>
          <w:bCs w:val="1"/>
          <w:sz w:val="28"/>
          <w:szCs w:val="28"/>
          <w:rtl w:val="0"/>
        </w:rPr>
        <w:t xml:space="preserve">7</w:t>
      </w:r>
      <w:r w:rsidDel="00000000" w:rsidR="00000000" w:rsidRPr="00000000">
        <w:rPr>
          <w:rFonts w:ascii="Calibri" w:cs="Calibri" w:eastAsia="Calibri" w:hAnsi="Calibri"/>
          <w:b w:val="1"/>
          <w:bCs w:val="1"/>
          <w:i w:val="0"/>
          <w:iCs w:val="0"/>
          <w:sz w:val="28"/>
          <w:szCs w:val="28"/>
          <w:rtl w:val="0"/>
        </w:rPr>
        <w:t xml:space="preserve">. Discussion</w:t>
      </w:r>
      <w:r w:rsidDel="00000000" w:rsidR="00000000" w:rsidRPr="00000000">
        <w:rPr>
          <w:rtl w:val="0"/>
        </w:rPr>
      </w:r>
    </w:p>
    <w:p w:rsidR="00000000" w:rsidDel="00000000" w:rsidP="00000000" w:rsidRDefault="00000000" w:rsidRPr="00000000" w14:paraId="00000093">
      <w:pPr>
        <w:spacing w:after="120" w:line="276" w:lineRule="auto"/>
        <w:ind w:left="0" w:right="0" w:firstLine="0"/>
        <w:jc w:val="both"/>
        <w:rPr/>
      </w:pPr>
      <w:r w:rsidDel="00000000" w:rsidR="00000000" w:rsidRPr="00000000">
        <w:rPr>
          <w:rtl w:val="0"/>
        </w:rPr>
        <w:t xml:space="preserve">This analysis of the anatomy of the Cortes interactive project makes three basic contributions.</w:t>
      </w:r>
      <w:r w:rsidDel="00000000" w:rsidR="00000000" w:rsidRPr="00000000">
        <w:rPr>
          <w:rtl w:val="0"/>
        </w:rPr>
      </w:r>
    </w:p>
    <w:p w:rsidR="00000000" w:rsidDel="00000000" w:rsidP="00000000" w:rsidRDefault="00000000" w:rsidRPr="00000000" w14:paraId="00000094">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Contribution 1. An extended Sinclair framework for diversity-related education AI system design.</w:t>
      </w:r>
      <w:r w:rsidDel="00000000" w:rsidR="00000000" w:rsidRPr="00000000">
        <w:rPr>
          <w:rFonts w:ascii="Calibri" w:cs="Calibri" w:eastAsia="Calibri" w:hAnsi="Calibri"/>
          <w:b w:val="0"/>
          <w:bCs w:val="0"/>
          <w:i w:val="0"/>
          <w:iCs w:val="0"/>
          <w:sz w:val="22"/>
          <w:szCs w:val="22"/>
          <w:rtl w:val="0"/>
        </w:rPr>
        <w:t xml:space="preserve"> The RAG-in-education literature has treated corpus and guardrail as infrastructure behind the pipeline. We treated them as the pipeline. By running a build through Sinclair's (1998) four phases, as extended by Martin (2022) and situated within Cortés's (2000) societal-curriculum frame, we made visible design decisions that a purely technical lens obscures. The framework is portable. Teams that are building legacy-RAG systems for other living scholars, for archives, or for community cultural-heritage projects can adopt the four phases as a build discipline and the CRT audit questions as a review gate.</w:t>
      </w:r>
      <w:r w:rsidDel="00000000" w:rsidR="00000000" w:rsidRPr="00000000">
        <w:rPr>
          <w:rtl w:val="0"/>
        </w:rPr>
      </w:r>
    </w:p>
    <w:p w:rsidR="00000000" w:rsidDel="00000000" w:rsidP="00000000" w:rsidRDefault="00000000" w:rsidRPr="00000000" w14:paraId="00000095">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Contribution 2. A three-tier consent model.</w:t>
      </w:r>
      <w:r w:rsidDel="00000000" w:rsidR="00000000" w:rsidRPr="00000000">
        <w:rPr>
          <w:rFonts w:ascii="Calibri" w:cs="Calibri" w:eastAsia="Calibri" w:hAnsi="Calibri"/>
          <w:b w:val="0"/>
          <w:bCs w:val="0"/>
          <w:i w:val="0"/>
          <w:iCs w:val="0"/>
          <w:sz w:val="22"/>
          <w:szCs w:val="22"/>
          <w:rtl w:val="0"/>
        </w:rPr>
        <w:t xml:space="preserve"> The legal and policy environment around voice, corpus, and representation is moving faster than the educational-technology literature has registered (Lehrman v. Lovo, 2025; Sharma et al., 2025; UNESCO, 2025). A model that separates the three tiers, names their scopes, and specifies revisit cadence and veto authority gives design teams an operational target. The tiers also give scholars and their representatives a language for what they are being asked to grant.</w:t>
      </w:r>
      <w:r w:rsidDel="00000000" w:rsidR="00000000" w:rsidRPr="00000000">
        <w:rPr>
          <w:rtl w:val="0"/>
        </w:rPr>
      </w:r>
    </w:p>
    <w:p w:rsidR="00000000" w:rsidDel="00000000" w:rsidP="00000000" w:rsidRDefault="00000000" w:rsidRPr="00000000" w14:paraId="00000096">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Contribution 3. A reproducible guardrail taxonomy.</w:t>
      </w:r>
      <w:r w:rsidDel="00000000" w:rsidR="00000000" w:rsidRPr="00000000">
        <w:rPr>
          <w:rFonts w:ascii="Calibri" w:cs="Calibri" w:eastAsia="Calibri" w:hAnsi="Calibri"/>
          <w:b w:val="0"/>
          <w:bCs w:val="0"/>
          <w:i w:val="0"/>
          <w:iCs w:val="0"/>
          <w:sz w:val="22"/>
          <w:szCs w:val="22"/>
          <w:rtl w:val="0"/>
        </w:rPr>
        <w:t xml:space="preserve"> The taxonomy in Table 1 is not novel in its categories taken one at a time. What is useful is the staged composition: retrieve, classify, branch, generate, validate, synthesize, with fail-closed defaults at each stage. Teams that adopt the taxonomy will be able to reason about refusal as a first-class design object rather than as an apology after the fact.</w:t>
      </w:r>
      <w:r w:rsidDel="00000000" w:rsidR="00000000" w:rsidRPr="00000000">
        <w:rPr>
          <w:rtl w:val="0"/>
        </w:rPr>
      </w:r>
    </w:p>
    <w:p w:rsidR="00000000" w:rsidDel="00000000" w:rsidP="00000000" w:rsidRDefault="00000000" w:rsidRPr="00000000" w14:paraId="00000097">
      <w:pPr>
        <w:spacing w:after="120" w:line="276" w:lineRule="auto"/>
        <w:ind w:left="0" w:right="0" w:firstLine="0"/>
        <w:jc w:val="both"/>
        <w:rPr/>
      </w:pPr>
      <w:r w:rsidDel="00000000" w:rsidR="00000000" w:rsidRPr="00000000">
        <w:rPr>
          <w:rtl w:val="0"/>
        </w:rPr>
        <w:t xml:space="preserve">Following are some </w:t>
      </w:r>
      <w:r w:rsidDel="00000000" w:rsidR="00000000" w:rsidRPr="00000000">
        <w:rPr>
          <w:rFonts w:ascii="Calibri" w:cs="Calibri" w:eastAsia="Calibri" w:hAnsi="Calibri"/>
          <w:b w:val="0"/>
          <w:bCs w:val="0"/>
          <w:i w:val="0"/>
          <w:iCs w:val="0"/>
          <w:sz w:val="22"/>
          <w:szCs w:val="22"/>
          <w:rtl w:val="0"/>
        </w:rPr>
        <w:t xml:space="preserve">Implications of our study for the RAG-in-education literature.</w:t>
      </w:r>
      <w:r w:rsidDel="00000000" w:rsidR="00000000" w:rsidRPr="00000000">
        <w:rPr>
          <w:rtl w:val="0"/>
        </w:rPr>
      </w:r>
    </w:p>
    <w:p w:rsidR="00000000" w:rsidDel="00000000" w:rsidP="00000000" w:rsidRDefault="00000000" w:rsidRPr="00000000" w14:paraId="00000098">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Corpus design is an ethical act.</w:t>
      </w:r>
      <w:r w:rsidDel="00000000" w:rsidR="00000000" w:rsidRPr="00000000">
        <w:rPr>
          <w:rFonts w:ascii="Calibri" w:cs="Calibri" w:eastAsia="Calibri" w:hAnsi="Calibri"/>
          <w:b w:val="0"/>
          <w:bCs w:val="0"/>
          <w:i w:val="0"/>
          <w:iCs w:val="0"/>
          <w:sz w:val="22"/>
          <w:szCs w:val="22"/>
          <w:rtl w:val="0"/>
        </w:rPr>
        <w:t xml:space="preserve"> The current surveys treat the corpus as a hyperparameter (Swacha &amp; Gracel, 2025; Li et al., 2025). It is a curricul</w:t>
      </w:r>
      <w:r w:rsidDel="00000000" w:rsidR="00000000" w:rsidRPr="00000000">
        <w:rPr>
          <w:rtl w:val="0"/>
        </w:rPr>
        <w:t xml:space="preserve">ar source</w:t>
      </w:r>
      <w:r w:rsidDel="00000000" w:rsidR="00000000" w:rsidRPr="00000000">
        <w:rPr>
          <w:rFonts w:ascii="Calibri" w:cs="Calibri" w:eastAsia="Calibri" w:hAnsi="Calibri"/>
          <w:b w:val="0"/>
          <w:bCs w:val="0"/>
          <w:i w:val="0"/>
          <w:iCs w:val="0"/>
          <w:sz w:val="22"/>
          <w:szCs w:val="22"/>
          <w:rtl w:val="0"/>
        </w:rPr>
        <w:t xml:space="preserve"> </w:t>
      </w:r>
      <w:r w:rsidDel="00000000" w:rsidR="00000000" w:rsidRPr="00000000">
        <w:rPr>
          <w:rtl w:val="0"/>
        </w:rPr>
        <w:t xml:space="preserve">on</w:t>
      </w:r>
      <w:r w:rsidDel="00000000" w:rsidR="00000000" w:rsidRPr="00000000">
        <w:rPr>
          <w:rFonts w:ascii="Calibri" w:cs="Calibri" w:eastAsia="Calibri" w:hAnsi="Calibri"/>
          <w:b w:val="0"/>
          <w:bCs w:val="0"/>
          <w:i w:val="0"/>
          <w:iCs w:val="0"/>
          <w:sz w:val="22"/>
          <w:szCs w:val="22"/>
          <w:rtl w:val="0"/>
        </w:rPr>
        <w:t xml:space="preserve"> diversit</w:t>
      </w:r>
      <w:r w:rsidDel="00000000" w:rsidR="00000000" w:rsidRPr="00000000">
        <w:rPr>
          <w:rtl w:val="0"/>
        </w:rPr>
        <w:t xml:space="preserve">y and</w:t>
      </w:r>
      <w:r w:rsidDel="00000000" w:rsidR="00000000" w:rsidRPr="00000000">
        <w:rPr>
          <w:rFonts w:ascii="Calibri" w:cs="Calibri" w:eastAsia="Calibri" w:hAnsi="Calibri"/>
          <w:b w:val="0"/>
          <w:bCs w:val="0"/>
          <w:i w:val="0"/>
          <w:iCs w:val="0"/>
          <w:sz w:val="22"/>
          <w:szCs w:val="22"/>
          <w:rtl w:val="0"/>
        </w:rPr>
        <w:t xml:space="preserve"> education, complete with ethically- </w:t>
      </w:r>
      <w:r w:rsidDel="00000000" w:rsidR="00000000" w:rsidRPr="00000000">
        <w:rPr>
          <w:rtl w:val="0"/>
        </w:rPr>
        <w:t xml:space="preserve">informed</w:t>
      </w:r>
      <w:r w:rsidDel="00000000" w:rsidR="00000000" w:rsidRPr="00000000">
        <w:rPr>
          <w:rFonts w:ascii="Calibri" w:cs="Calibri" w:eastAsia="Calibri" w:hAnsi="Calibri"/>
          <w:b w:val="0"/>
          <w:bCs w:val="0"/>
          <w:i w:val="0"/>
          <w:iCs w:val="0"/>
          <w:sz w:val="22"/>
          <w:szCs w:val="22"/>
          <w:rtl w:val="0"/>
        </w:rPr>
        <w:t xml:space="preserve"> hyperparameters as basic to the system. Research agendas that evaluate RAG purely on retrieval metrics and hallucination rates will miss most of what matters for pedagogical use.</w:t>
      </w:r>
      <w:r w:rsidDel="00000000" w:rsidR="00000000" w:rsidRPr="00000000">
        <w:rPr>
          <w:rtl w:val="0"/>
        </w:rPr>
      </w:r>
    </w:p>
    <w:p w:rsidR="00000000" w:rsidDel="00000000" w:rsidP="00000000" w:rsidRDefault="00000000" w:rsidRPr="00000000" w14:paraId="00000099">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Refusal is a design feature.</w:t>
      </w:r>
      <w:r w:rsidDel="00000000" w:rsidR="00000000" w:rsidRPr="00000000">
        <w:rPr>
          <w:rFonts w:ascii="Calibri" w:cs="Calibri" w:eastAsia="Calibri" w:hAnsi="Calibri"/>
          <w:b w:val="0"/>
          <w:bCs w:val="0"/>
          <w:i w:val="0"/>
          <w:iCs w:val="0"/>
          <w:sz w:val="22"/>
          <w:szCs w:val="22"/>
          <w:rtl w:val="0"/>
        </w:rPr>
        <w:t xml:space="preserve"> The metric literature has not yet operationalized refusal quality. Teams building for education should report refusal taxonomies, refusal rates by category, and refusal-to-pivot success rates alongside accuracy and hallucination rates. A high-accuracy system that never refuses  living-person queries is </w:t>
      </w:r>
      <w:r w:rsidDel="00000000" w:rsidR="00000000" w:rsidRPr="00000000">
        <w:rPr>
          <w:rtl w:val="0"/>
        </w:rPr>
        <w:t xml:space="preserve">inferior to a s</w:t>
      </w:r>
      <w:r w:rsidDel="00000000" w:rsidR="00000000" w:rsidRPr="00000000">
        <w:rPr>
          <w:rFonts w:ascii="Calibri" w:cs="Calibri" w:eastAsia="Calibri" w:hAnsi="Calibri"/>
          <w:b w:val="0"/>
          <w:bCs w:val="0"/>
          <w:i w:val="0"/>
          <w:iCs w:val="0"/>
          <w:sz w:val="22"/>
          <w:szCs w:val="22"/>
          <w:rtl w:val="0"/>
        </w:rPr>
        <w:t xml:space="preserve">ystem tha</w:t>
      </w:r>
      <w:r w:rsidDel="00000000" w:rsidR="00000000" w:rsidRPr="00000000">
        <w:rPr>
          <w:rtl w:val="0"/>
        </w:rPr>
        <w:t xml:space="preserve">t cleanly</w:t>
      </w:r>
      <w:r w:rsidDel="00000000" w:rsidR="00000000" w:rsidRPr="00000000">
        <w:rPr>
          <w:rFonts w:ascii="Calibri" w:cs="Calibri" w:eastAsia="Calibri" w:hAnsi="Calibri"/>
          <w:b w:val="0"/>
          <w:bCs w:val="0"/>
          <w:i w:val="0"/>
          <w:iCs w:val="0"/>
          <w:sz w:val="22"/>
          <w:szCs w:val="22"/>
          <w:rtl w:val="0"/>
        </w:rPr>
        <w:t xml:space="preserve"> refuses </w:t>
      </w:r>
      <w:r w:rsidDel="00000000" w:rsidR="00000000" w:rsidRPr="00000000">
        <w:rPr>
          <w:rtl w:val="0"/>
        </w:rPr>
        <w:t xml:space="preserve">such queries.</w:t>
      </w:r>
      <w:r w:rsidDel="00000000" w:rsidR="00000000" w:rsidRPr="00000000">
        <w:rPr>
          <w:rFonts w:ascii="Calibri" w:cs="Calibri" w:eastAsia="Calibri" w:hAnsi="Calibri"/>
          <w:b w:val="0"/>
          <w:bCs w:val="0"/>
          <w:i w:val="0"/>
          <w:iCs w:val="0"/>
          <w:sz w:val="22"/>
          <w:szCs w:val="22"/>
          <w:rtl w:val="0"/>
        </w:rPr>
        <w:t xml:space="preserve">.</w:t>
      </w:r>
      <w:r w:rsidDel="00000000" w:rsidR="00000000" w:rsidRPr="00000000">
        <w:rPr>
          <w:rtl w:val="0"/>
        </w:rPr>
      </w:r>
    </w:p>
    <w:p w:rsidR="00000000" w:rsidDel="00000000" w:rsidP="00000000" w:rsidRDefault="00000000" w:rsidRPr="00000000" w14:paraId="0000009A">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Consent is living practice.</w:t>
      </w:r>
      <w:r w:rsidDel="00000000" w:rsidR="00000000" w:rsidRPr="00000000">
        <w:rPr>
          <w:rFonts w:ascii="Calibri" w:cs="Calibri" w:eastAsia="Calibri" w:hAnsi="Calibri"/>
          <w:b w:val="0"/>
          <w:bCs w:val="0"/>
          <w:i w:val="0"/>
          <w:iCs w:val="0"/>
          <w:sz w:val="22"/>
          <w:szCs w:val="22"/>
          <w:rtl w:val="0"/>
        </w:rPr>
        <w:t xml:space="preserve"> Single-release consent models carry over habits from research data collection that do not fit voice-and-corpus RAG. Journals that publish RAG case studies should ask authors to report their consent architecture</w:t>
      </w:r>
      <w:r w:rsidDel="00000000" w:rsidR="00000000" w:rsidRPr="00000000">
        <w:rPr>
          <w:rtl w:val="0"/>
        </w:rPr>
        <w:t xml:space="preserve"> as a clear and transparent </w:t>
      </w:r>
      <w:r w:rsidDel="00000000" w:rsidR="00000000" w:rsidRPr="00000000">
        <w:rPr>
          <w:rFonts w:ascii="Calibri" w:cs="Calibri" w:eastAsia="Calibri" w:hAnsi="Calibri"/>
          <w:b w:val="0"/>
          <w:bCs w:val="0"/>
          <w:i w:val="0"/>
          <w:iCs w:val="0"/>
          <w:sz w:val="22"/>
          <w:szCs w:val="22"/>
          <w:rtl w:val="0"/>
        </w:rPr>
        <w:t xml:space="preserve"> methodological choice.</w:t>
      </w:r>
      <w:r w:rsidDel="00000000" w:rsidR="00000000" w:rsidRPr="00000000">
        <w:rPr>
          <w:rtl w:val="0"/>
        </w:rPr>
      </w:r>
    </w:p>
    <w:p w:rsidR="00000000" w:rsidDel="00000000" w:rsidP="00000000" w:rsidRDefault="00000000" w:rsidRPr="00000000" w14:paraId="0000009B">
      <w:pPr>
        <w:spacing w:after="120" w:line="276" w:lineRule="auto"/>
        <w:ind w:left="0" w:right="0" w:firstLine="0"/>
        <w:jc w:val="both"/>
        <w:rPr/>
      </w:pPr>
      <w:r w:rsidDel="00000000" w:rsidR="00000000" w:rsidRPr="00000000">
        <w:rPr>
          <w:rtl w:val="0"/>
        </w:rPr>
        <w:t xml:space="preserve">Following are some </w:t>
      </w:r>
      <w:r w:rsidDel="00000000" w:rsidR="00000000" w:rsidRPr="00000000">
        <w:rPr>
          <w:rFonts w:ascii="Calibri" w:cs="Calibri" w:eastAsia="Calibri" w:hAnsi="Calibri"/>
          <w:b w:val="0"/>
          <w:bCs w:val="0"/>
          <w:i w:val="0"/>
          <w:iCs w:val="0"/>
          <w:sz w:val="22"/>
          <w:szCs w:val="22"/>
          <w:rtl w:val="0"/>
        </w:rPr>
        <w:t xml:space="preserve">Implications </w:t>
      </w:r>
      <w:r w:rsidDel="00000000" w:rsidR="00000000" w:rsidRPr="00000000">
        <w:rPr>
          <w:rtl w:val="0"/>
        </w:rPr>
        <w:t xml:space="preserve">of our study for diversity and education.</w:t>
      </w:r>
      <w:r w:rsidDel="00000000" w:rsidR="00000000" w:rsidRPr="00000000">
        <w:rPr>
          <w:rFonts w:ascii="Calibri" w:cs="Calibri" w:eastAsia="Calibri" w:hAnsi="Calibri"/>
          <w:b w:val="0"/>
          <w:bCs w:val="0"/>
          <w:i w:val="0"/>
          <w:iCs w:val="0"/>
          <w:sz w:val="22"/>
          <w:szCs w:val="22"/>
          <w:rtl w:val="0"/>
        </w:rPr>
        <w:t xml:space="preserve">.</w:t>
      </w:r>
      <w:r w:rsidDel="00000000" w:rsidR="00000000" w:rsidRPr="00000000">
        <w:rPr>
          <w:rtl w:val="0"/>
        </w:rPr>
      </w:r>
    </w:p>
    <w:p w:rsidR="00000000" w:rsidDel="00000000" w:rsidP="00000000" w:rsidRDefault="00000000" w:rsidRPr="00000000" w14:paraId="0000009C">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Living-scholar RAG is a counter to representational erasure.</w:t>
      </w:r>
      <w:r w:rsidDel="00000000" w:rsidR="00000000" w:rsidRPr="00000000">
        <w:rPr>
          <w:rFonts w:ascii="Calibri" w:cs="Calibri" w:eastAsia="Calibri" w:hAnsi="Calibri"/>
          <w:b w:val="0"/>
          <w:bCs w:val="0"/>
          <w:i w:val="0"/>
          <w:iCs w:val="0"/>
          <w:sz w:val="22"/>
          <w:szCs w:val="22"/>
          <w:rtl w:val="0"/>
        </w:rPr>
        <w:t xml:space="preserve"> Cortés's (2025) recent call for multicultural education to pivot toward future-oriented action is directly served by making a scholar's record legible and searchable in his own voice during his lifetime. The alternative, in which a scholar's work is encountered by future generations only through an LLM trained on the open web, </w:t>
      </w:r>
      <w:r w:rsidDel="00000000" w:rsidR="00000000" w:rsidRPr="00000000">
        <w:rPr>
          <w:rtl w:val="0"/>
        </w:rPr>
        <w:t xml:space="preserve">is likely to</w:t>
      </w:r>
      <w:r w:rsidDel="00000000" w:rsidR="00000000" w:rsidRPr="00000000">
        <w:rPr>
          <w:rFonts w:ascii="Calibri" w:cs="Calibri" w:eastAsia="Calibri" w:hAnsi="Calibri"/>
          <w:b w:val="0"/>
          <w:bCs w:val="0"/>
          <w:i w:val="0"/>
          <w:iCs w:val="0"/>
          <w:sz w:val="22"/>
          <w:szCs w:val="22"/>
          <w:rtl w:val="0"/>
        </w:rPr>
        <w:t xml:space="preserve">l reproduce  some of the same distortions and  erasures that de la Peña (2010) catalogued for the history of technology.</w:t>
      </w:r>
      <w:r w:rsidDel="00000000" w:rsidR="00000000" w:rsidRPr="00000000">
        <w:rPr>
          <w:rtl w:val="0"/>
        </w:rPr>
      </w:r>
    </w:p>
    <w:p w:rsidR="00000000" w:rsidDel="00000000" w:rsidP="00000000" w:rsidRDefault="00000000" w:rsidRPr="00000000" w14:paraId="0000009D">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Naming matters inside the machine.</w:t>
      </w:r>
      <w:r w:rsidDel="00000000" w:rsidR="00000000" w:rsidRPr="00000000">
        <w:rPr>
          <w:rFonts w:ascii="Calibri" w:cs="Calibri" w:eastAsia="Calibri" w:hAnsi="Calibri"/>
          <w:b w:val="0"/>
          <w:bCs w:val="0"/>
          <w:i w:val="0"/>
          <w:iCs w:val="0"/>
          <w:sz w:val="22"/>
          <w:szCs w:val="22"/>
          <w:rtl w:val="0"/>
        </w:rPr>
        <w:t xml:space="preserve"> We name race, power, and refusal in the system prompt, in the guardrails, and in the consent tiers. That is not a marketing choice. It is the mechanism by which we selectively infused CRT ideas into the software. Teams that do not address those matters </w:t>
      </w:r>
      <w:r w:rsidDel="00000000" w:rsidR="00000000" w:rsidRPr="00000000">
        <w:rPr>
          <w:rtl w:val="0"/>
        </w:rPr>
        <w:t xml:space="preserve">are reliant on a systems fairness that may not exist</w:t>
      </w:r>
      <w:r w:rsidDel="00000000" w:rsidR="00000000" w:rsidRPr="00000000">
        <w:rPr>
          <w:rFonts w:ascii="Calibri" w:cs="Calibri" w:eastAsia="Calibri" w:hAnsi="Calibri"/>
          <w:b w:val="0"/>
          <w:bCs w:val="0"/>
          <w:i w:val="0"/>
          <w:iCs w:val="0"/>
          <w:sz w:val="22"/>
          <w:szCs w:val="22"/>
          <w:rtl w:val="0"/>
        </w:rPr>
        <w:t xml:space="preserve">t.</w:t>
      </w:r>
      <w:r w:rsidDel="00000000" w:rsidR="00000000" w:rsidRPr="00000000">
        <w:rPr>
          <w:rtl w:val="0"/>
        </w:rPr>
      </w:r>
    </w:p>
    <w:p w:rsidR="00000000" w:rsidDel="00000000" w:rsidP="00000000" w:rsidRDefault="00000000" w:rsidRPr="00000000" w14:paraId="0000009E">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Multicultural education has design work to do.</w:t>
      </w:r>
      <w:r w:rsidDel="00000000" w:rsidR="00000000" w:rsidRPr="00000000">
        <w:rPr>
          <w:rFonts w:ascii="Calibri" w:cs="Calibri" w:eastAsia="Calibri" w:hAnsi="Calibri"/>
          <w:b w:val="0"/>
          <w:bCs w:val="0"/>
          <w:i w:val="0"/>
          <w:iCs w:val="0"/>
          <w:sz w:val="22"/>
          <w:szCs w:val="22"/>
          <w:rtl w:val="0"/>
        </w:rPr>
        <w:t xml:space="preserve"> The field has a long tradition of curricular and policy work (Cortés, 2013; Ladson-Billings &amp; Tate, 1995). It has a shorter tradition of AI system design work. The Sinclair-extended framework is an invitation for the field to claim that design space rather than delegate it to computer science teams who do not share the field's values and commitments.</w:t>
      </w:r>
      <w:r w:rsidDel="00000000" w:rsidR="00000000" w:rsidRPr="00000000">
        <w:rPr>
          <w:rtl w:val="0"/>
        </w:rPr>
      </w:r>
    </w:p>
    <w:p w:rsidR="00000000" w:rsidDel="00000000" w:rsidP="00000000" w:rsidRDefault="00000000" w:rsidRPr="00000000" w14:paraId="0000009F">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A note on rhetorical form.</w:t>
      </w:r>
      <w:r w:rsidDel="00000000" w:rsidR="00000000" w:rsidRPr="00000000">
        <w:rPr>
          <w:rFonts w:ascii="Calibri" w:cs="Calibri" w:eastAsia="Calibri" w:hAnsi="Calibri"/>
          <w:b w:val="0"/>
          <w:bCs w:val="0"/>
          <w:i w:val="0"/>
          <w:iCs w:val="0"/>
          <w:sz w:val="22"/>
          <w:szCs w:val="22"/>
          <w:rtl w:val="0"/>
        </w:rPr>
        <w:t xml:space="preserve"> We have tried to mirror a rhetorical move that runs through Cortés's published work across sixty years: open with a scene or observation, let the particulars do the theoretical lifting, and close with an action. The opening of this paper put a user at a chat window and watched the system refuse. The closing of this paper will put a team at the start of a build and ask them to refuse the wrong defaults. Between those two scenes we have tried to do what multicultural education has always asked of us, which is to name the thing, to ground the claim, and to hand the reader something they can use. We report the stack, the prompt categories, the consent tiers, and the refusal architecture because those are the artifacts that travel. The framework travels too, but only if the artifacts travel with it.</w:t>
      </w:r>
      <w:r w:rsidDel="00000000" w:rsidR="00000000" w:rsidRPr="00000000">
        <w:rPr>
          <w:rtl w:val="0"/>
        </w:rPr>
      </w:r>
    </w:p>
    <w:p w:rsidR="00000000" w:rsidDel="00000000" w:rsidP="00000000" w:rsidRDefault="00000000" w:rsidRPr="00000000" w14:paraId="000000A0">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8. Limitations</w:t>
      </w:r>
      <w:r w:rsidDel="00000000" w:rsidR="00000000" w:rsidRPr="00000000">
        <w:rPr>
          <w:rtl w:val="0"/>
        </w:rPr>
      </w:r>
    </w:p>
    <w:p w:rsidR="00000000" w:rsidDel="00000000" w:rsidP="00000000" w:rsidRDefault="00000000" w:rsidRPr="00000000" w14:paraId="000000A1">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We </w:t>
      </w:r>
      <w:r w:rsidDel="00000000" w:rsidR="00000000" w:rsidRPr="00000000">
        <w:rPr>
          <w:rtl w:val="0"/>
        </w:rPr>
        <w:t xml:space="preserve">recognize </w:t>
      </w:r>
      <w:r w:rsidDel="00000000" w:rsidR="00000000" w:rsidRPr="00000000">
        <w:rPr>
          <w:rFonts w:ascii="Calibri" w:cs="Calibri" w:eastAsia="Calibri" w:hAnsi="Calibri"/>
          <w:b w:val="0"/>
          <w:bCs w:val="0"/>
          <w:i w:val="0"/>
          <w:iCs w:val="0"/>
          <w:sz w:val="22"/>
          <w:szCs w:val="22"/>
          <w:rtl w:val="0"/>
        </w:rPr>
        <w:t xml:space="preserve"> five limits</w:t>
      </w:r>
      <w:r w:rsidDel="00000000" w:rsidR="00000000" w:rsidRPr="00000000">
        <w:rPr>
          <w:rtl w:val="0"/>
        </w:rPr>
        <w:t xml:space="preserve"> to our collaborative efforts.</w:t>
      </w:r>
    </w:p>
    <w:p w:rsidR="00000000" w:rsidDel="00000000" w:rsidP="00000000" w:rsidRDefault="00000000" w:rsidRPr="00000000" w14:paraId="000000A2">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Single-case design.</w:t>
      </w:r>
      <w:r w:rsidDel="00000000" w:rsidR="00000000" w:rsidRPr="00000000">
        <w:rPr>
          <w:rFonts w:ascii="Calibri" w:cs="Calibri" w:eastAsia="Calibri" w:hAnsi="Calibri"/>
          <w:b w:val="0"/>
          <w:bCs w:val="0"/>
          <w:i w:val="0"/>
          <w:iCs w:val="0"/>
          <w:sz w:val="22"/>
          <w:szCs w:val="22"/>
          <w:rtl w:val="0"/>
        </w:rPr>
        <w:t xml:space="preserve"> This is a single design case. The framework and the consent model are portable in principle</w:t>
      </w:r>
      <w:r w:rsidDel="00000000" w:rsidR="00000000" w:rsidRPr="00000000">
        <w:rPr>
          <w:rtl w:val="0"/>
        </w:rPr>
        <w:t xml:space="preserve"> after having</w:t>
      </w:r>
      <w:r w:rsidDel="00000000" w:rsidR="00000000" w:rsidRPr="00000000">
        <w:rPr>
          <w:rFonts w:ascii="Calibri" w:cs="Calibri" w:eastAsia="Calibri" w:hAnsi="Calibri"/>
          <w:b w:val="0"/>
          <w:bCs w:val="0"/>
          <w:i w:val="0"/>
          <w:iCs w:val="0"/>
          <w:sz w:val="22"/>
          <w:szCs w:val="22"/>
          <w:rtl w:val="0"/>
        </w:rPr>
        <w:t xml:space="preserve"> been exercised once. Other case studies are needed to stress-test the framework with different kinds of living scholars, different disciplinary records, and different institutional hosts.</w:t>
      </w:r>
      <w:r w:rsidDel="00000000" w:rsidR="00000000" w:rsidRPr="00000000">
        <w:rPr>
          <w:rtl w:val="0"/>
        </w:rPr>
      </w:r>
    </w:p>
    <w:p w:rsidR="00000000" w:rsidDel="00000000" w:rsidP="00000000" w:rsidRDefault="00000000" w:rsidRPr="00000000" w14:paraId="000000A3">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Self-study element.</w:t>
      </w:r>
      <w:r w:rsidDel="00000000" w:rsidR="00000000" w:rsidRPr="00000000">
        <w:rPr>
          <w:rFonts w:ascii="Calibri" w:cs="Calibri" w:eastAsia="Calibri" w:hAnsi="Calibri"/>
          <w:b w:val="0"/>
          <w:bCs w:val="0"/>
          <w:i w:val="0"/>
          <w:iCs w:val="0"/>
          <w:sz w:val="22"/>
          <w:szCs w:val="22"/>
          <w:rtl w:val="0"/>
        </w:rPr>
        <w:t xml:space="preserve"> The authors are the designers. We audited our own build. Reflective self-study has a long tradition in educational research (Martin, 2022; Ludema et al., 2006) and yields practitioner knowledge that outside observers cannot access. However, </w:t>
      </w:r>
      <w:r w:rsidDel="00000000" w:rsidR="00000000" w:rsidRPr="00000000">
        <w:rPr>
          <w:rtl w:val="0"/>
        </w:rPr>
        <w:t xml:space="preserve">i</w:t>
      </w:r>
      <w:r w:rsidDel="00000000" w:rsidR="00000000" w:rsidRPr="00000000">
        <w:rPr>
          <w:rFonts w:ascii="Calibri" w:cs="Calibri" w:eastAsia="Calibri" w:hAnsi="Calibri"/>
          <w:b w:val="0"/>
          <w:bCs w:val="0"/>
          <w:i w:val="0"/>
          <w:iCs w:val="0"/>
          <w:sz w:val="22"/>
          <w:szCs w:val="22"/>
          <w:rtl w:val="0"/>
        </w:rPr>
        <w:t xml:space="preserve">t also carries the risks of the genre. We have tried to mitigate those risks by grounding every claim in design artifacts (system prompts, manifests, consent documents) rather than in memory, and by naming pending review by Dr. Cortés as a condition of publication.</w:t>
      </w:r>
      <w:r w:rsidDel="00000000" w:rsidR="00000000" w:rsidRPr="00000000">
        <w:rPr>
          <w:rtl w:val="0"/>
        </w:rPr>
      </w:r>
    </w:p>
    <w:p w:rsidR="00000000" w:rsidDel="00000000" w:rsidP="00000000" w:rsidRDefault="00000000" w:rsidRPr="00000000" w14:paraId="000000A4">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Corpus coverage gaps.</w:t>
      </w:r>
      <w:r w:rsidDel="00000000" w:rsidR="00000000" w:rsidRPr="00000000">
        <w:rPr>
          <w:rFonts w:ascii="Calibri" w:cs="Calibri" w:eastAsia="Calibri" w:hAnsi="Calibri"/>
          <w:b w:val="0"/>
          <w:bCs w:val="0"/>
          <w:i w:val="0"/>
          <w:iCs w:val="0"/>
          <w:sz w:val="22"/>
          <w:szCs w:val="22"/>
          <w:rtl w:val="0"/>
        </w:rPr>
        <w:t xml:space="preserve"> The corpus is not exhaustive. Paywalled works, conference proceedings, some </w:t>
      </w:r>
      <w:r w:rsidDel="00000000" w:rsidR="00000000" w:rsidRPr="00000000">
        <w:rPr>
          <w:rtl w:val="0"/>
        </w:rPr>
        <w:t xml:space="preserve">articles and</w:t>
      </w:r>
      <w:r w:rsidDel="00000000" w:rsidR="00000000" w:rsidRPr="00000000">
        <w:rPr>
          <w:rFonts w:ascii="Calibri" w:cs="Calibri" w:eastAsia="Calibri" w:hAnsi="Calibri"/>
          <w:b w:val="0"/>
          <w:bCs w:val="0"/>
          <w:i w:val="0"/>
          <w:iCs w:val="0"/>
          <w:sz w:val="22"/>
          <w:szCs w:val="22"/>
          <w:rtl w:val="0"/>
        </w:rPr>
        <w:t xml:space="preserve"> columns in small-circulation periodicals, and the scholar's in-progress book manuscript on diversity and speech are absent. Spanish and Portuguese coverage is underweighted. The system will decline questions whose evidence lives in those gaps, which reduces hallucination risk but also reduces coverage.</w:t>
      </w:r>
      <w:r w:rsidDel="00000000" w:rsidR="00000000" w:rsidRPr="00000000">
        <w:rPr>
          <w:rtl w:val="0"/>
        </w:rPr>
      </w:r>
    </w:p>
    <w:p w:rsidR="00000000" w:rsidDel="00000000" w:rsidP="00000000" w:rsidRDefault="00000000" w:rsidRPr="00000000" w14:paraId="000000A5">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No empirical user study yet.</w:t>
      </w:r>
      <w:r w:rsidDel="00000000" w:rsidR="00000000" w:rsidRPr="00000000">
        <w:rPr>
          <w:rFonts w:ascii="Calibri" w:cs="Calibri" w:eastAsia="Calibri" w:hAnsi="Calibri"/>
          <w:b w:val="0"/>
          <w:bCs w:val="0"/>
          <w:i w:val="0"/>
          <w:iCs w:val="0"/>
          <w:sz w:val="22"/>
          <w:szCs w:val="22"/>
          <w:rtl w:val="0"/>
        </w:rPr>
        <w:t xml:space="preserve"> We have not run a controlled user study. Deployment telemetry, refusal logs, and informal user feedback have shaped iteration, but they are not a user study. A study centering on learners, including those  from communities of colo</w:t>
      </w:r>
      <w:r w:rsidDel="00000000" w:rsidR="00000000" w:rsidRPr="00000000">
        <w:rPr>
          <w:rtl w:val="0"/>
        </w:rPr>
        <w:t xml:space="preserve">r, </w:t>
      </w:r>
      <w:r w:rsidDel="00000000" w:rsidR="00000000" w:rsidRPr="00000000">
        <w:rPr>
          <w:rFonts w:ascii="Calibri" w:cs="Calibri" w:eastAsia="Calibri" w:hAnsi="Calibri"/>
          <w:b w:val="0"/>
          <w:bCs w:val="0"/>
          <w:i w:val="0"/>
          <w:iCs w:val="0"/>
          <w:sz w:val="22"/>
          <w:szCs w:val="22"/>
          <w:rtl w:val="0"/>
        </w:rPr>
        <w:t xml:space="preserve"> is a priority for the next phase of work.</w:t>
      </w:r>
      <w:r w:rsidDel="00000000" w:rsidR="00000000" w:rsidRPr="00000000">
        <w:rPr>
          <w:rtl w:val="0"/>
        </w:rPr>
      </w:r>
    </w:p>
    <w:p w:rsidR="00000000" w:rsidDel="00000000" w:rsidP="00000000" w:rsidRDefault="00000000" w:rsidRPr="00000000" w14:paraId="000000A6">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9. Conclusion and Future Work</w:t>
      </w:r>
      <w:r w:rsidDel="00000000" w:rsidR="00000000" w:rsidRPr="00000000">
        <w:rPr>
          <w:rtl w:val="0"/>
        </w:rPr>
      </w:r>
    </w:p>
    <w:p w:rsidR="00000000" w:rsidDel="00000000" w:rsidP="00000000" w:rsidRDefault="00000000" w:rsidRPr="00000000" w14:paraId="000000A7">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Legacy RAG can best serve diversity-related education if the teams that build it treat corpus, consent, and refusal as the core of the design rather than as its after</w:t>
      </w:r>
      <w:r w:rsidDel="00000000" w:rsidR="00000000" w:rsidRPr="00000000">
        <w:rPr>
          <w:rtl w:val="0"/>
        </w:rPr>
        <w:t xml:space="preserve">math</w:t>
      </w:r>
      <w:r w:rsidDel="00000000" w:rsidR="00000000" w:rsidRPr="00000000">
        <w:rPr>
          <w:rFonts w:ascii="Calibri" w:cs="Calibri" w:eastAsia="Calibri" w:hAnsi="Calibri"/>
          <w:b w:val="0"/>
          <w:bCs w:val="0"/>
          <w:i w:val="0"/>
          <w:iCs w:val="0"/>
          <w:sz w:val="22"/>
          <w:szCs w:val="22"/>
          <w:rtl w:val="0"/>
        </w:rPr>
        <w:t xml:space="preserve">. We have argued for that posture by reading our build through Sinclair's (1998) four phases, as extended by Martin (2022) and situated inside Cortés's (2000) societal-curriculum frame, and by offering three artifacts (an extended framework, a three-tier consent model, and a guardrail taxonomy) that other teams can adapt.</w:t>
      </w:r>
      <w:r w:rsidDel="00000000" w:rsidR="00000000" w:rsidRPr="00000000">
        <w:rPr>
          <w:rtl w:val="0"/>
        </w:rPr>
      </w:r>
    </w:p>
    <w:p w:rsidR="00000000" w:rsidDel="00000000" w:rsidP="00000000" w:rsidRDefault="00000000" w:rsidRPr="00000000" w14:paraId="000000A8">
      <w:pPr>
        <w:spacing w:after="120" w:line="276" w:lineRule="auto"/>
        <w:ind w:left="0" w:right="0" w:firstLine="0"/>
        <w:jc w:val="both"/>
        <w:rPr/>
      </w:pPr>
      <w:r w:rsidDel="00000000" w:rsidR="00000000" w:rsidRPr="00000000">
        <w:rPr>
          <w:rtl w:val="0"/>
        </w:rPr>
        <w:t xml:space="preserve">For future work we envision moving in four directions. First, we may extend the framework to other living scholars in different fields and different linguistic traditions, and report cross-case learnings. Second, we mayl run an empirical user study that centers learners from the communities the scholar has spent a career writing about, with attention to refusal experiences as well as answer quality. Third, we may conduct longitudinal work on corpus drift, running the same representative queries through the system at six-month intervals as corpus, embedding models, and generation models change. Fourth, we may pursue comparative work with other cultural-heritage AI systems (UNESCO, 2025) to draw out what legacy RAG contributes and what it does not.</w:t>
      </w:r>
    </w:p>
    <w:p w:rsidR="00000000" w:rsidDel="00000000" w:rsidP="00000000" w:rsidRDefault="00000000" w:rsidRPr="00000000" w14:paraId="000000A9">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underlying </w:t>
      </w:r>
      <w:r w:rsidDel="00000000" w:rsidR="00000000" w:rsidRPr="00000000">
        <w:rPr>
          <w:rtl w:val="0"/>
        </w:rPr>
        <w:t xml:space="preserve">value system</w:t>
      </w:r>
      <w:r w:rsidDel="00000000" w:rsidR="00000000" w:rsidRPr="00000000">
        <w:rPr>
          <w:rFonts w:ascii="Calibri" w:cs="Calibri" w:eastAsia="Calibri" w:hAnsi="Calibri"/>
          <w:b w:val="0"/>
          <w:bCs w:val="0"/>
          <w:i w:val="0"/>
          <w:iCs w:val="0"/>
          <w:sz w:val="22"/>
          <w:szCs w:val="22"/>
          <w:rtl w:val="0"/>
        </w:rPr>
        <w:t xml:space="preserve"> is constant across these possible f</w:t>
      </w:r>
      <w:r w:rsidDel="00000000" w:rsidR="00000000" w:rsidRPr="00000000">
        <w:rPr>
          <w:rtl w:val="0"/>
        </w:rPr>
        <w:t xml:space="preserve">uture research</w:t>
      </w:r>
      <w:r w:rsidDel="00000000" w:rsidR="00000000" w:rsidRPr="00000000">
        <w:rPr>
          <w:rFonts w:ascii="Calibri" w:cs="Calibri" w:eastAsia="Calibri" w:hAnsi="Calibri"/>
          <w:b w:val="0"/>
          <w:bCs w:val="0"/>
          <w:i w:val="0"/>
          <w:iCs w:val="0"/>
          <w:sz w:val="22"/>
          <w:szCs w:val="22"/>
          <w:rtl w:val="0"/>
        </w:rPr>
        <w:t xml:space="preserve"> directions. The system speaks only from what the scholar has said. It refuses the rest. It exists only at the scholar's ongoing consent. And it is, by design, part of the curriculum.</w:t>
      </w:r>
      <w:r w:rsidDel="00000000" w:rsidR="00000000" w:rsidRPr="00000000">
        <w:rPr>
          <w:rtl w:val="0"/>
        </w:rPr>
      </w:r>
    </w:p>
    <w:p w:rsidR="00000000" w:rsidDel="00000000" w:rsidP="00000000" w:rsidRDefault="00000000" w:rsidRPr="00000000" w14:paraId="000000AA">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Author contributions</w:t>
      </w:r>
      <w:r w:rsidDel="00000000" w:rsidR="00000000" w:rsidRPr="00000000">
        <w:rPr>
          <w:rtl w:val="0"/>
        </w:rPr>
      </w:r>
    </w:p>
    <w:p w:rsidR="00000000" w:rsidDel="00000000" w:rsidP="00000000" w:rsidRDefault="00000000" w:rsidRPr="00000000" w14:paraId="000000AB">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The contributions below follow the CRediT taxonomy.</w:t>
      </w:r>
      <w:r w:rsidDel="00000000" w:rsidR="00000000" w:rsidRPr="00000000">
        <w:rPr>
          <w:rtl w:val="0"/>
        </w:rPr>
      </w:r>
    </w:p>
    <w:p w:rsidR="00000000" w:rsidDel="00000000" w:rsidP="00000000" w:rsidRDefault="00000000" w:rsidRPr="00000000" w14:paraId="000000AC">
      <w:pPr>
        <w:spacing w:after="120" w:line="276" w:lineRule="auto"/>
        <w:ind w:left="0" w:right="0" w:firstLine="0"/>
        <w:jc w:val="both"/>
        <w:rPr/>
      </w:pPr>
      <w:r w:rsidDel="00000000" w:rsidR="00000000" w:rsidRPr="00000000">
        <w:rPr>
          <w:rFonts w:ascii="Calibri" w:cs="Calibri" w:eastAsia="Calibri" w:hAnsi="Calibri"/>
          <w:b w:val="1"/>
          <w:bCs w:val="1"/>
          <w:i w:val="0"/>
          <w:iCs w:val="0"/>
          <w:sz w:val="22"/>
          <w:szCs w:val="22"/>
          <w:rtl w:val="0"/>
        </w:rPr>
        <w:t xml:space="preserve">Marie Martin:</w:t>
      </w:r>
      <w:r w:rsidDel="00000000" w:rsidR="00000000" w:rsidRPr="00000000">
        <w:rPr>
          <w:rFonts w:ascii="Calibri" w:cs="Calibri" w:eastAsia="Calibri" w:hAnsi="Calibri"/>
          <w:b w:val="0"/>
          <w:bCs w:val="0"/>
          <w:i w:val="0"/>
          <w:iCs w:val="0"/>
          <w:sz w:val="22"/>
          <w:szCs w:val="22"/>
          <w:rtl w:val="0"/>
        </w:rPr>
        <w:t xml:space="preserve"> Conceptualization; methodology (conceptual framework, Sinclair extension); formal analysis; supervision (CRT and diversity-related education framing); writing (original draft); writing (review and editing).</w:t>
      </w:r>
      <w:r w:rsidDel="00000000" w:rsidR="00000000" w:rsidRPr="00000000">
        <w:rPr>
          <w:rtl w:val="0"/>
        </w:rPr>
      </w:r>
    </w:p>
    <w:p w:rsidR="00000000" w:rsidDel="00000000" w:rsidP="00000000" w:rsidRDefault="00000000" w:rsidRPr="00000000" w14:paraId="000000AD">
      <w:pPr>
        <w:spacing w:after="120" w:line="276" w:lineRule="auto"/>
        <w:ind w:left="0" w:right="0" w:firstLine="0"/>
        <w:jc w:val="both"/>
        <w:rPr/>
      </w:pPr>
      <w:r w:rsidDel="00000000" w:rsidR="00000000" w:rsidRPr="00000000">
        <w:rPr>
          <w:rtl w:val="0"/>
        </w:rPr>
        <w:t xml:space="preserve">Charles Martin: Conceptualization; software; data curation; system architecture; methodology; writing (original draft); writing (review and editing).</w:t>
      </w:r>
    </w:p>
    <w:p w:rsidR="00000000" w:rsidDel="00000000" w:rsidP="00000000" w:rsidRDefault="00000000" w:rsidRPr="00000000" w14:paraId="000000AE">
      <w:pPr>
        <w:spacing w:after="120" w:line="276" w:lineRule="auto"/>
        <w:ind w:left="0" w:right="0" w:firstLine="0"/>
        <w:jc w:val="both"/>
        <w:rPr/>
      </w:pPr>
      <w:r w:rsidDel="00000000" w:rsidR="00000000" w:rsidRPr="00000000">
        <w:rPr>
          <w:rtl w:val="0"/>
        </w:rPr>
        <w:t xml:space="preserve">Carlos E. Cortés: Resources (corpus and voice); validation (consent architecture and guardrail content); writing (review and editing after manuscript review).</w:t>
      </w:r>
    </w:p>
    <w:p w:rsidR="00000000" w:rsidDel="00000000" w:rsidP="00000000" w:rsidRDefault="00000000" w:rsidRPr="00000000" w14:paraId="000000AF">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Funding</w:t>
      </w:r>
      <w:r w:rsidDel="00000000" w:rsidR="00000000" w:rsidRPr="00000000">
        <w:rPr>
          <w:rtl w:val="0"/>
        </w:rPr>
      </w:r>
    </w:p>
    <w:p w:rsidR="00000000" w:rsidDel="00000000" w:rsidP="00000000" w:rsidRDefault="00000000" w:rsidRPr="00000000" w14:paraId="000000B0">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This work was self-funded by the authors. No external grant supported the research, the authorship, or the development of the Cortés Interactive chatbot and timeline.</w:t>
      </w:r>
      <w:r w:rsidDel="00000000" w:rsidR="00000000" w:rsidRPr="00000000">
        <w:rPr>
          <w:rtl w:val="0"/>
        </w:rPr>
      </w:r>
    </w:p>
    <w:p w:rsidR="00000000" w:rsidDel="00000000" w:rsidP="00000000" w:rsidRDefault="00000000" w:rsidRPr="00000000" w14:paraId="000000B1">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Competing Interests</w:t>
      </w:r>
      <w:r w:rsidDel="00000000" w:rsidR="00000000" w:rsidRPr="00000000">
        <w:rPr>
          <w:rtl w:val="0"/>
        </w:rPr>
      </w:r>
    </w:p>
    <w:p w:rsidR="00000000" w:rsidDel="00000000" w:rsidP="00000000" w:rsidRDefault="00000000" w:rsidRPr="00000000" w14:paraId="000000B2">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Dr. Charles Martin and Dr. Marie Martin are the designers and operators of the Dr. Cortés Interactive chatbot and timeline. Dr. Carlos E. Cortés is the subject of the system and a co-author of this manuscript. No external commercial interest influenced the analysis.</w:t>
      </w:r>
      <w:r w:rsidDel="00000000" w:rsidR="00000000" w:rsidRPr="00000000">
        <w:rPr>
          <w:rtl w:val="0"/>
        </w:rPr>
      </w:r>
    </w:p>
    <w:p w:rsidR="00000000" w:rsidDel="00000000" w:rsidP="00000000" w:rsidRDefault="00000000" w:rsidRPr="00000000" w14:paraId="000000B3">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Ethics Statement</w:t>
      </w:r>
      <w:r w:rsidDel="00000000" w:rsidR="00000000" w:rsidRPr="00000000">
        <w:rPr>
          <w:rtl w:val="0"/>
        </w:rPr>
      </w:r>
    </w:p>
    <w:p w:rsidR="00000000" w:rsidDel="00000000" w:rsidP="00000000" w:rsidRDefault="00000000" w:rsidRPr="00000000" w14:paraId="000000B4">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This paper reports on a design case study involving a consented living collaborator. Consent covers Tier 1 (voice), Tier 2 (corpus), and Tier 3 (representation) as described in Section 6. Consent is revisited on the cadences specified in Table 2 and is terminable at the collaborator's discretion. Institutional ethics staff were consulted; IRB review was determined not to be required under 45 CFR 46 because the work does not intervene on or interact with human subjects beyond the authors and the named co-author for purposes of generating generalizable knowledge about human subjects. The paper does not quote or paraphrase Dr. Cortés's prose; his works are cited in the text and in the references.</w:t>
      </w:r>
      <w:r w:rsidDel="00000000" w:rsidR="00000000" w:rsidRPr="00000000">
        <w:rPr>
          <w:rtl w:val="0"/>
        </w:rPr>
      </w:r>
    </w:p>
    <w:p w:rsidR="00000000" w:rsidDel="00000000" w:rsidP="00000000" w:rsidRDefault="00000000" w:rsidRPr="00000000" w14:paraId="000000B5">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Data Availability</w:t>
      </w:r>
      <w:r w:rsidDel="00000000" w:rsidR="00000000" w:rsidRPr="00000000">
        <w:rPr>
          <w:rtl w:val="0"/>
        </w:rPr>
      </w:r>
    </w:p>
    <w:p w:rsidR="00000000" w:rsidDel="00000000" w:rsidP="00000000" w:rsidRDefault="00000000" w:rsidRPr="00000000" w14:paraId="000000B6">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Software repositories for the Dr. Cortés Interactive chatbot and timeline are maintained separately, and manuscript materials for this article series are being staged in a private review repository. Corpus works are cited individually in the References. Original consent records are not publicly distributed to protect the co-author's personal terms; redacted templates can be shared with reviewers on request after co-author review is complete.</w:t>
      </w:r>
      <w:r w:rsidDel="00000000" w:rsidR="00000000" w:rsidRPr="00000000">
        <w:rPr>
          <w:rtl w:val="0"/>
        </w:rPr>
      </w:r>
    </w:p>
    <w:p w:rsidR="00000000" w:rsidDel="00000000" w:rsidP="00000000" w:rsidRDefault="00000000" w:rsidRPr="00000000" w14:paraId="000000B7">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Acknowledgments</w:t>
      </w:r>
      <w:r w:rsidDel="00000000" w:rsidR="00000000" w:rsidRPr="00000000">
        <w:rPr>
          <w:rtl w:val="0"/>
        </w:rPr>
      </w:r>
    </w:p>
    <w:p w:rsidR="00000000" w:rsidDel="00000000" w:rsidP="00000000" w:rsidRDefault="00000000" w:rsidRPr="00000000" w14:paraId="000000B8">
      <w:pPr>
        <w:spacing w:after="120" w:line="276" w:lineRule="auto"/>
        <w:ind w:left="0" w:right="0" w:firstLine="0"/>
        <w:jc w:val="both"/>
        <w:rPr/>
      </w:pPr>
      <w:r w:rsidDel="00000000" w:rsidR="00000000" w:rsidRPr="00000000">
        <w:rPr>
          <w:rFonts w:ascii="Calibri" w:cs="Calibri" w:eastAsia="Calibri" w:hAnsi="Calibri"/>
          <w:b w:val="0"/>
          <w:bCs w:val="0"/>
          <w:i w:val="0"/>
          <w:iCs w:val="0"/>
          <w:sz w:val="22"/>
          <w:szCs w:val="22"/>
          <w:rtl w:val="0"/>
        </w:rPr>
        <w:t xml:space="preserve">We thank colleagues at the </w:t>
      </w:r>
      <w:r w:rsidDel="00000000" w:rsidR="00000000" w:rsidRPr="00000000">
        <w:rPr>
          <w:rtl w:val="0"/>
        </w:rPr>
        <w:t xml:space="preserve">University of Southern California</w:t>
      </w:r>
      <w:r w:rsidDel="00000000" w:rsidR="00000000" w:rsidRPr="00000000">
        <w:rPr>
          <w:rFonts w:ascii="Calibri" w:cs="Calibri" w:eastAsia="Calibri" w:hAnsi="Calibri"/>
          <w:b w:val="0"/>
          <w:bCs w:val="0"/>
          <w:i w:val="0"/>
          <w:iCs w:val="0"/>
          <w:sz w:val="22"/>
          <w:szCs w:val="22"/>
          <w:rtl w:val="0"/>
        </w:rPr>
        <w:t xml:space="preserve"> who offered informal feedback on earlier sketches of the framework.</w:t>
      </w:r>
      <w:r w:rsidDel="00000000" w:rsidR="00000000" w:rsidRPr="00000000">
        <w:rPr>
          <w:rtl w:val="0"/>
        </w:rPr>
      </w:r>
    </w:p>
    <w:p w:rsidR="00000000" w:rsidDel="00000000" w:rsidP="00000000" w:rsidRDefault="00000000" w:rsidRPr="00000000" w14:paraId="000000B9">
      <w:pPr>
        <w:keepNext w:val="1"/>
        <w:spacing w:after="120" w:before="280" w:line="276" w:lineRule="auto"/>
        <w:jc w:val="left"/>
        <w:rPr/>
      </w:pPr>
      <w:r w:rsidDel="00000000" w:rsidR="00000000" w:rsidRPr="00000000">
        <w:rPr>
          <w:rFonts w:ascii="Calibri" w:cs="Calibri" w:eastAsia="Calibri" w:hAnsi="Calibri"/>
          <w:b w:val="1"/>
          <w:bCs w:val="1"/>
          <w:i w:val="0"/>
          <w:iCs w:val="0"/>
          <w:sz w:val="28"/>
          <w:szCs w:val="28"/>
          <w:rtl w:val="0"/>
        </w:rPr>
        <w:t xml:space="preserve">References</w:t>
      </w:r>
      <w:r w:rsidDel="00000000" w:rsidR="00000000" w:rsidRPr="00000000">
        <w:rPr>
          <w:rtl w:val="0"/>
        </w:rPr>
      </w:r>
    </w:p>
    <w:p w:rsidR="00000000" w:rsidDel="00000000" w:rsidP="00000000" w:rsidRDefault="00000000" w:rsidRPr="00000000" w14:paraId="000000BA">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Bender, E. M., Gebru, T., McMillan-Major, A., &amp; Shmitchell, S. (2021). On the dangers of stochastic parrots. </w:t>
      </w:r>
      <w:r w:rsidDel="00000000" w:rsidR="00000000" w:rsidRPr="00000000">
        <w:rPr>
          <w:rFonts w:ascii="Calibri" w:cs="Calibri" w:eastAsia="Calibri" w:hAnsi="Calibri"/>
          <w:b w:val="0"/>
          <w:bCs w:val="0"/>
          <w:i w:val="1"/>
          <w:iCs w:val="1"/>
          <w:sz w:val="22"/>
          <w:szCs w:val="22"/>
          <w:rtl w:val="0"/>
        </w:rPr>
        <w:t xml:space="preserve">Proceedings of the 2021 ACM Conference on Fairness, Accountability, and Transparency</w:t>
      </w:r>
      <w:r w:rsidDel="00000000" w:rsidR="00000000" w:rsidRPr="00000000">
        <w:rPr>
          <w:rFonts w:ascii="Calibri" w:cs="Calibri" w:eastAsia="Calibri" w:hAnsi="Calibri"/>
          <w:b w:val="0"/>
          <w:bCs w:val="0"/>
          <w:i w:val="0"/>
          <w:iCs w:val="0"/>
          <w:sz w:val="22"/>
          <w:szCs w:val="22"/>
          <w:rtl w:val="0"/>
        </w:rPr>
        <w:t xml:space="preserve"> (pp. 610-623). Association for Computing Machinery. https://doi.org/10.1145/3442188.3445922</w:t>
      </w:r>
      <w:r w:rsidDel="00000000" w:rsidR="00000000" w:rsidRPr="00000000">
        <w:rPr>
          <w:rtl w:val="0"/>
        </w:rPr>
      </w:r>
    </w:p>
    <w:p w:rsidR="00000000" w:rsidDel="00000000" w:rsidP="00000000" w:rsidRDefault="00000000" w:rsidRPr="00000000" w14:paraId="000000BB">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Birhane, A., Kasirzadeh, A., Leslie, D., &amp; Wachter, S. (2023). Science in the age of large language models. </w:t>
      </w:r>
      <w:r w:rsidDel="00000000" w:rsidR="00000000" w:rsidRPr="00000000">
        <w:rPr>
          <w:rFonts w:ascii="Calibri" w:cs="Calibri" w:eastAsia="Calibri" w:hAnsi="Calibri"/>
          <w:b w:val="0"/>
          <w:bCs w:val="0"/>
          <w:i w:val="1"/>
          <w:iCs w:val="1"/>
          <w:sz w:val="22"/>
          <w:szCs w:val="22"/>
          <w:rtl w:val="0"/>
        </w:rPr>
        <w:t xml:space="preserve">Nature Reviews Physics, 5</w:t>
      </w:r>
      <w:r w:rsidDel="00000000" w:rsidR="00000000" w:rsidRPr="00000000">
        <w:rPr>
          <w:rFonts w:ascii="Calibri" w:cs="Calibri" w:eastAsia="Calibri" w:hAnsi="Calibri"/>
          <w:b w:val="0"/>
          <w:bCs w:val="0"/>
          <w:i w:val="0"/>
          <w:iCs w:val="0"/>
          <w:sz w:val="22"/>
          <w:szCs w:val="22"/>
          <w:rtl w:val="0"/>
        </w:rPr>
        <w:t xml:space="preserve">(5), 277-280. https://doi.org/10.1038/s42254-023-00581-4</w:t>
      </w:r>
      <w:r w:rsidDel="00000000" w:rsidR="00000000" w:rsidRPr="00000000">
        <w:rPr>
          <w:rtl w:val="0"/>
        </w:rPr>
      </w:r>
    </w:p>
    <w:p w:rsidR="00000000" w:rsidDel="00000000" w:rsidP="00000000" w:rsidRDefault="00000000" w:rsidRPr="00000000" w14:paraId="000000BC">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Bunnell, B., Bondy, M., Fromtling, G., Ludeman, E., &amp; Gourab, K. (2025). Bridging AI and healthcare: A scoping review of retrieval-augmented generation, ethics, bias, transparency, improvements, and applications. </w:t>
      </w:r>
      <w:r w:rsidDel="00000000" w:rsidR="00000000" w:rsidRPr="00000000">
        <w:rPr>
          <w:rFonts w:ascii="Calibri" w:cs="Calibri" w:eastAsia="Calibri" w:hAnsi="Calibri"/>
          <w:b w:val="0"/>
          <w:bCs w:val="0"/>
          <w:i w:val="1"/>
          <w:iCs w:val="1"/>
          <w:sz w:val="22"/>
          <w:szCs w:val="22"/>
          <w:rtl w:val="0"/>
        </w:rPr>
        <w:t xml:space="preserve">medRxiv</w:t>
      </w:r>
      <w:r w:rsidDel="00000000" w:rsidR="00000000" w:rsidRPr="00000000">
        <w:rPr>
          <w:rFonts w:ascii="Calibri" w:cs="Calibri" w:eastAsia="Calibri" w:hAnsi="Calibri"/>
          <w:b w:val="0"/>
          <w:bCs w:val="0"/>
          <w:i w:val="0"/>
          <w:iCs w:val="0"/>
          <w:sz w:val="22"/>
          <w:szCs w:val="22"/>
          <w:rtl w:val="0"/>
        </w:rPr>
        <w:t xml:space="preserve">. https://doi.org/10.1101/2025.04.01.25325033</w:t>
      </w:r>
      <w:r w:rsidDel="00000000" w:rsidR="00000000" w:rsidRPr="00000000">
        <w:rPr>
          <w:rtl w:val="0"/>
        </w:rPr>
      </w:r>
    </w:p>
    <w:p w:rsidR="00000000" w:rsidDel="00000000" w:rsidP="00000000" w:rsidRDefault="00000000" w:rsidRPr="00000000" w14:paraId="000000BD">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(2000). </w:t>
      </w:r>
      <w:r w:rsidDel="00000000" w:rsidR="00000000" w:rsidRPr="00000000">
        <w:rPr>
          <w:rFonts w:ascii="Calibri" w:cs="Calibri" w:eastAsia="Calibri" w:hAnsi="Calibri"/>
          <w:b w:val="0"/>
          <w:bCs w:val="0"/>
          <w:i w:val="1"/>
          <w:iCs w:val="1"/>
          <w:sz w:val="22"/>
          <w:szCs w:val="22"/>
          <w:rtl w:val="0"/>
        </w:rPr>
        <w:t xml:space="preserve">The children are watching: How the media teach about diversity</w:t>
      </w:r>
      <w:r w:rsidDel="00000000" w:rsidR="00000000" w:rsidRPr="00000000">
        <w:rPr>
          <w:rFonts w:ascii="Calibri" w:cs="Calibri" w:eastAsia="Calibri" w:hAnsi="Calibri"/>
          <w:b w:val="0"/>
          <w:bCs w:val="0"/>
          <w:i w:val="0"/>
          <w:iCs w:val="0"/>
          <w:sz w:val="22"/>
          <w:szCs w:val="22"/>
          <w:rtl w:val="0"/>
        </w:rPr>
        <w:t xml:space="preserve">. Teachers College Press.</w:t>
      </w:r>
      <w:r w:rsidDel="00000000" w:rsidR="00000000" w:rsidRPr="00000000">
        <w:rPr>
          <w:rtl w:val="0"/>
        </w:rPr>
      </w:r>
    </w:p>
    <w:p w:rsidR="00000000" w:rsidDel="00000000" w:rsidP="00000000" w:rsidRDefault="00000000" w:rsidRPr="00000000" w14:paraId="000000BE">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(2002). </w:t>
      </w:r>
      <w:r w:rsidDel="00000000" w:rsidR="00000000" w:rsidRPr="00000000">
        <w:rPr>
          <w:rFonts w:ascii="Calibri" w:cs="Calibri" w:eastAsia="Calibri" w:hAnsi="Calibri"/>
          <w:b w:val="0"/>
          <w:bCs w:val="0"/>
          <w:i w:val="1"/>
          <w:iCs w:val="1"/>
          <w:sz w:val="22"/>
          <w:szCs w:val="22"/>
          <w:rtl w:val="0"/>
        </w:rPr>
        <w:t xml:space="preserve">The making </w:t>
      </w:r>
      <w:r w:rsidDel="00000000" w:rsidR="00000000" w:rsidRPr="00000000">
        <w:rPr>
          <w:i w:val="1"/>
          <w:iCs w:val="1"/>
          <w:rtl w:val="0"/>
        </w:rPr>
        <w:t xml:space="preserve">– </w:t>
      </w:r>
      <w:r w:rsidDel="00000000" w:rsidR="00000000" w:rsidRPr="00000000">
        <w:rPr>
          <w:rFonts w:ascii="Calibri" w:cs="Calibri" w:eastAsia="Calibri" w:hAnsi="Calibri"/>
          <w:b w:val="0"/>
          <w:bCs w:val="0"/>
          <w:i w:val="1"/>
          <w:iCs w:val="1"/>
          <w:sz w:val="22"/>
          <w:szCs w:val="22"/>
          <w:rtl w:val="0"/>
        </w:rPr>
        <w:t xml:space="preserve">and remaking </w:t>
      </w:r>
      <w:r w:rsidDel="00000000" w:rsidR="00000000" w:rsidRPr="00000000">
        <w:rPr>
          <w:i w:val="1"/>
          <w:iCs w:val="1"/>
          <w:rtl w:val="0"/>
        </w:rPr>
        <w:t xml:space="preserve">–</w:t>
      </w:r>
      <w:r w:rsidDel="00000000" w:rsidR="00000000" w:rsidRPr="00000000">
        <w:rPr>
          <w:rFonts w:ascii="Calibri" w:cs="Calibri" w:eastAsia="Calibri" w:hAnsi="Calibri"/>
          <w:b w:val="0"/>
          <w:bCs w:val="0"/>
          <w:i w:val="1"/>
          <w:iCs w:val="1"/>
          <w:sz w:val="22"/>
          <w:szCs w:val="22"/>
          <w:rtl w:val="0"/>
        </w:rPr>
        <w:t xml:space="preserve"> of a multiculturalist</w:t>
      </w:r>
      <w:r w:rsidDel="00000000" w:rsidR="00000000" w:rsidRPr="00000000">
        <w:rPr>
          <w:rFonts w:ascii="Calibri" w:cs="Calibri" w:eastAsia="Calibri" w:hAnsi="Calibri"/>
          <w:b w:val="0"/>
          <w:bCs w:val="0"/>
          <w:i w:val="0"/>
          <w:iCs w:val="0"/>
          <w:sz w:val="22"/>
          <w:szCs w:val="22"/>
          <w:rtl w:val="0"/>
        </w:rPr>
        <w:t xml:space="preserve">. Teachers College Press.</w:t>
      </w:r>
      <w:r w:rsidDel="00000000" w:rsidR="00000000" w:rsidRPr="00000000">
        <w:rPr>
          <w:rtl w:val="0"/>
        </w:rPr>
      </w:r>
    </w:p>
    <w:p w:rsidR="00000000" w:rsidDel="00000000" w:rsidP="00000000" w:rsidRDefault="00000000" w:rsidRPr="00000000" w14:paraId="000000BF">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(2012). </w:t>
      </w:r>
      <w:r w:rsidDel="00000000" w:rsidR="00000000" w:rsidRPr="00000000">
        <w:rPr>
          <w:rFonts w:ascii="Calibri" w:cs="Calibri" w:eastAsia="Calibri" w:hAnsi="Calibri"/>
          <w:b w:val="0"/>
          <w:bCs w:val="0"/>
          <w:i w:val="1"/>
          <w:iCs w:val="1"/>
          <w:sz w:val="22"/>
          <w:szCs w:val="22"/>
          <w:rtl w:val="0"/>
        </w:rPr>
        <w:t xml:space="preserve">Rose Hill: An intermarriage before its time</w:t>
      </w:r>
      <w:r w:rsidDel="00000000" w:rsidR="00000000" w:rsidRPr="00000000">
        <w:rPr>
          <w:rFonts w:ascii="Calibri" w:cs="Calibri" w:eastAsia="Calibri" w:hAnsi="Calibri"/>
          <w:b w:val="0"/>
          <w:bCs w:val="0"/>
          <w:i w:val="0"/>
          <w:iCs w:val="0"/>
          <w:sz w:val="22"/>
          <w:szCs w:val="22"/>
          <w:rtl w:val="0"/>
        </w:rPr>
        <w:t xml:space="preserve">. Heyday.</w:t>
      </w:r>
      <w:r w:rsidDel="00000000" w:rsidR="00000000" w:rsidRPr="00000000">
        <w:rPr>
          <w:rtl w:val="0"/>
        </w:rPr>
      </w:r>
    </w:p>
    <w:p w:rsidR="00000000" w:rsidDel="00000000" w:rsidP="00000000" w:rsidRDefault="00000000" w:rsidRPr="00000000" w14:paraId="000000C0">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(Ed.). (2013). </w:t>
      </w:r>
      <w:r w:rsidDel="00000000" w:rsidR="00000000" w:rsidRPr="00000000">
        <w:rPr>
          <w:rFonts w:ascii="Calibri" w:cs="Calibri" w:eastAsia="Calibri" w:hAnsi="Calibri"/>
          <w:b w:val="0"/>
          <w:bCs w:val="0"/>
          <w:i w:val="1"/>
          <w:iCs w:val="1"/>
          <w:sz w:val="22"/>
          <w:szCs w:val="22"/>
          <w:rtl w:val="0"/>
        </w:rPr>
        <w:t xml:space="preserve">Multicultural America: A multimedia encyclopedia</w:t>
      </w:r>
      <w:r w:rsidDel="00000000" w:rsidR="00000000" w:rsidRPr="00000000">
        <w:rPr>
          <w:rFonts w:ascii="Calibri" w:cs="Calibri" w:eastAsia="Calibri" w:hAnsi="Calibri"/>
          <w:b w:val="0"/>
          <w:bCs w:val="0"/>
          <w:i w:val="0"/>
          <w:iCs w:val="0"/>
          <w:sz w:val="22"/>
          <w:szCs w:val="22"/>
          <w:rtl w:val="0"/>
        </w:rPr>
        <w:t xml:space="preserve"> (Vols. 1-4). SAGE Publications. https://doi.org/10.4135/9781452276274</w:t>
      </w:r>
      <w:r w:rsidDel="00000000" w:rsidR="00000000" w:rsidRPr="00000000">
        <w:rPr>
          <w:rtl w:val="0"/>
        </w:rPr>
      </w:r>
    </w:p>
    <w:p w:rsidR="00000000" w:rsidDel="00000000" w:rsidP="00000000" w:rsidRDefault="00000000" w:rsidRPr="00000000" w14:paraId="000000C1">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(2016). </w:t>
      </w:r>
      <w:r w:rsidDel="00000000" w:rsidR="00000000" w:rsidRPr="00000000">
        <w:rPr>
          <w:rFonts w:ascii="Calibri" w:cs="Calibri" w:eastAsia="Calibri" w:hAnsi="Calibri"/>
          <w:b w:val="0"/>
          <w:bCs w:val="0"/>
          <w:i w:val="1"/>
          <w:iCs w:val="1"/>
          <w:sz w:val="22"/>
          <w:szCs w:val="22"/>
          <w:rtl w:val="0"/>
        </w:rPr>
        <w:t xml:space="preserve">Fourth quarter: Reflections of a cranky old man</w:t>
      </w:r>
      <w:r w:rsidDel="00000000" w:rsidR="00000000" w:rsidRPr="00000000">
        <w:rPr>
          <w:rFonts w:ascii="Calibri" w:cs="Calibri" w:eastAsia="Calibri" w:hAnsi="Calibri"/>
          <w:b w:val="0"/>
          <w:bCs w:val="0"/>
          <w:i w:val="0"/>
          <w:iCs w:val="0"/>
          <w:sz w:val="22"/>
          <w:szCs w:val="22"/>
          <w:rtl w:val="0"/>
        </w:rPr>
        <w:t xml:space="preserve">. Bad Knee Press.</w:t>
      </w:r>
      <w:r w:rsidDel="00000000" w:rsidR="00000000" w:rsidRPr="00000000">
        <w:rPr>
          <w:rtl w:val="0"/>
        </w:rPr>
      </w:r>
    </w:p>
    <w:p w:rsidR="00000000" w:rsidDel="00000000" w:rsidP="00000000" w:rsidRDefault="00000000" w:rsidRPr="00000000" w14:paraId="000000C2">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(2019). Beyond free speech: Fostering civic engagement at the intersection of diversity and expression. </w:t>
      </w:r>
      <w:r w:rsidDel="00000000" w:rsidR="00000000" w:rsidRPr="00000000">
        <w:rPr>
          <w:rFonts w:ascii="Calibri" w:cs="Calibri" w:eastAsia="Calibri" w:hAnsi="Calibri"/>
          <w:b w:val="0"/>
          <w:bCs w:val="0"/>
          <w:i w:val="1"/>
          <w:iCs w:val="1"/>
          <w:sz w:val="22"/>
          <w:szCs w:val="22"/>
          <w:rtl w:val="0"/>
        </w:rPr>
        <w:t xml:space="preserve">American Diversity Report</w:t>
      </w:r>
      <w:r w:rsidDel="00000000" w:rsidR="00000000" w:rsidRPr="00000000">
        <w:rPr>
          <w:rFonts w:ascii="Calibri" w:cs="Calibri" w:eastAsia="Calibri" w:hAnsi="Calibri"/>
          <w:b w:val="0"/>
          <w:bCs w:val="0"/>
          <w:i w:val="0"/>
          <w:iCs w:val="0"/>
          <w:sz w:val="22"/>
          <w:szCs w:val="22"/>
          <w:rtl w:val="0"/>
        </w:rPr>
        <w:t xml:space="preserve">.</w:t>
      </w:r>
      <w:r w:rsidDel="00000000" w:rsidR="00000000" w:rsidRPr="00000000">
        <w:rPr>
          <w:rtl w:val="0"/>
        </w:rPr>
      </w:r>
    </w:p>
    <w:p w:rsidR="00000000" w:rsidDel="00000000" w:rsidP="00000000" w:rsidRDefault="00000000" w:rsidRPr="00000000" w14:paraId="000000C3">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(2022). </w:t>
      </w:r>
      <w:r w:rsidDel="00000000" w:rsidR="00000000" w:rsidRPr="00000000">
        <w:rPr>
          <w:rFonts w:ascii="Calibri" w:cs="Calibri" w:eastAsia="Calibri" w:hAnsi="Calibri"/>
          <w:b w:val="0"/>
          <w:bCs w:val="0"/>
          <w:i w:val="1"/>
          <w:iCs w:val="1"/>
          <w:sz w:val="22"/>
          <w:szCs w:val="22"/>
          <w:rtl w:val="0"/>
        </w:rPr>
        <w:t xml:space="preserve">A conversation with Alana: One boy's multicultural rite of passage</w:t>
      </w:r>
      <w:r w:rsidDel="00000000" w:rsidR="00000000" w:rsidRPr="00000000">
        <w:rPr>
          <w:rFonts w:ascii="Calibri" w:cs="Calibri" w:eastAsia="Calibri" w:hAnsi="Calibri"/>
          <w:b w:val="0"/>
          <w:bCs w:val="0"/>
          <w:i w:val="0"/>
          <w:iCs w:val="0"/>
          <w:sz w:val="22"/>
          <w:szCs w:val="22"/>
          <w:rtl w:val="0"/>
        </w:rPr>
        <w:t xml:space="preserve">. Bad Knee Press.</w:t>
      </w:r>
      <w:r w:rsidDel="00000000" w:rsidR="00000000" w:rsidRPr="00000000">
        <w:rPr>
          <w:rtl w:val="0"/>
        </w:rPr>
      </w:r>
    </w:p>
    <w:p w:rsidR="00000000" w:rsidDel="00000000" w:rsidP="00000000" w:rsidRDefault="00000000" w:rsidRPr="00000000" w14:paraId="000000C4">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(2025a). </w:t>
      </w:r>
      <w:r w:rsidDel="00000000" w:rsidR="00000000" w:rsidRPr="00000000">
        <w:rPr>
          <w:rFonts w:ascii="Calibri" w:cs="Calibri" w:eastAsia="Calibri" w:hAnsi="Calibri"/>
          <w:b w:val="0"/>
          <w:bCs w:val="0"/>
          <w:i w:val="1"/>
          <w:iCs w:val="1"/>
          <w:sz w:val="22"/>
          <w:szCs w:val="22"/>
          <w:rtl w:val="0"/>
        </w:rPr>
        <w:t xml:space="preserve">Scouts' honor</w:t>
      </w:r>
      <w:r w:rsidDel="00000000" w:rsidR="00000000" w:rsidRPr="00000000">
        <w:rPr>
          <w:rFonts w:ascii="Calibri" w:cs="Calibri" w:eastAsia="Calibri" w:hAnsi="Calibri"/>
          <w:b w:val="0"/>
          <w:bCs w:val="0"/>
          <w:i w:val="0"/>
          <w:iCs w:val="0"/>
          <w:sz w:val="22"/>
          <w:szCs w:val="22"/>
          <w:rtl w:val="0"/>
        </w:rPr>
        <w:t xml:space="preserve">. Inlandia Institute.</w:t>
      </w:r>
      <w:r w:rsidDel="00000000" w:rsidR="00000000" w:rsidRPr="00000000">
        <w:rPr>
          <w:rtl w:val="0"/>
        </w:rPr>
      </w:r>
    </w:p>
    <w:p w:rsidR="00000000" w:rsidDel="00000000" w:rsidP="00000000" w:rsidRDefault="00000000" w:rsidRPr="00000000" w14:paraId="000000C5">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Cortés, C. E. (2025b). Renewing multicultural education: An ancient mariner's manifesto. </w:t>
      </w:r>
      <w:r w:rsidDel="00000000" w:rsidR="00000000" w:rsidRPr="00000000">
        <w:rPr>
          <w:rFonts w:ascii="Calibri" w:cs="Calibri" w:eastAsia="Calibri" w:hAnsi="Calibri"/>
          <w:b w:val="0"/>
          <w:bCs w:val="0"/>
          <w:i w:val="1"/>
          <w:iCs w:val="1"/>
          <w:sz w:val="22"/>
          <w:szCs w:val="22"/>
          <w:rtl w:val="0"/>
        </w:rPr>
        <w:t xml:space="preserve">Multicultural Perspectives, 27</w:t>
      </w:r>
      <w:r w:rsidDel="00000000" w:rsidR="00000000" w:rsidRPr="00000000">
        <w:rPr>
          <w:rFonts w:ascii="Calibri" w:cs="Calibri" w:eastAsia="Calibri" w:hAnsi="Calibri"/>
          <w:b w:val="0"/>
          <w:bCs w:val="0"/>
          <w:i w:val="0"/>
          <w:iCs w:val="0"/>
          <w:sz w:val="22"/>
          <w:szCs w:val="22"/>
          <w:rtl w:val="0"/>
        </w:rPr>
        <w:t xml:space="preserve">(2), 66-75. https://doi.org/10.1080/15210960.2025.2558492</w:t>
      </w:r>
      <w:r w:rsidDel="00000000" w:rsidR="00000000" w:rsidRPr="00000000">
        <w:rPr>
          <w:rtl w:val="0"/>
        </w:rPr>
      </w:r>
    </w:p>
    <w:p w:rsidR="00000000" w:rsidDel="00000000" w:rsidP="00000000" w:rsidRDefault="00000000" w:rsidRPr="00000000" w14:paraId="000000C6">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Crenshaw, K. (1989). Demarginalizing the intersection of race and sex: A Black feminist critique of antidiscrimination doctrine, feminist theory and antiracist politics. </w:t>
      </w:r>
      <w:r w:rsidDel="00000000" w:rsidR="00000000" w:rsidRPr="00000000">
        <w:rPr>
          <w:rFonts w:ascii="Calibri" w:cs="Calibri" w:eastAsia="Calibri" w:hAnsi="Calibri"/>
          <w:b w:val="0"/>
          <w:bCs w:val="0"/>
          <w:i w:val="1"/>
          <w:iCs w:val="1"/>
          <w:sz w:val="22"/>
          <w:szCs w:val="22"/>
          <w:rtl w:val="0"/>
        </w:rPr>
        <w:t xml:space="preserve">University of Chicago Legal Forum, 1989</w:t>
      </w:r>
      <w:r w:rsidDel="00000000" w:rsidR="00000000" w:rsidRPr="00000000">
        <w:rPr>
          <w:rFonts w:ascii="Calibri" w:cs="Calibri" w:eastAsia="Calibri" w:hAnsi="Calibri"/>
          <w:b w:val="0"/>
          <w:bCs w:val="0"/>
          <w:i w:val="0"/>
          <w:iCs w:val="0"/>
          <w:sz w:val="22"/>
          <w:szCs w:val="22"/>
          <w:rtl w:val="0"/>
        </w:rPr>
        <w:t xml:space="preserve">(1), 139-167.</w:t>
      </w:r>
      <w:r w:rsidDel="00000000" w:rsidR="00000000" w:rsidRPr="00000000">
        <w:rPr>
          <w:rtl w:val="0"/>
        </w:rPr>
      </w:r>
    </w:p>
    <w:p w:rsidR="00000000" w:rsidDel="00000000" w:rsidP="00000000" w:rsidRDefault="00000000" w:rsidRPr="00000000" w14:paraId="000000C7">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de la Peña, C. (2010). The history of technology, the resistance of archives, and the Whiteness of race. </w:t>
      </w:r>
      <w:r w:rsidDel="00000000" w:rsidR="00000000" w:rsidRPr="00000000">
        <w:rPr>
          <w:rFonts w:ascii="Calibri" w:cs="Calibri" w:eastAsia="Calibri" w:hAnsi="Calibri"/>
          <w:b w:val="0"/>
          <w:bCs w:val="0"/>
          <w:i w:val="1"/>
          <w:iCs w:val="1"/>
          <w:sz w:val="22"/>
          <w:szCs w:val="22"/>
          <w:rtl w:val="0"/>
        </w:rPr>
        <w:t xml:space="preserve">Technology and Culture, 51</w:t>
      </w:r>
      <w:r w:rsidDel="00000000" w:rsidR="00000000" w:rsidRPr="00000000">
        <w:rPr>
          <w:rFonts w:ascii="Calibri" w:cs="Calibri" w:eastAsia="Calibri" w:hAnsi="Calibri"/>
          <w:b w:val="0"/>
          <w:bCs w:val="0"/>
          <w:i w:val="0"/>
          <w:iCs w:val="0"/>
          <w:sz w:val="22"/>
          <w:szCs w:val="22"/>
          <w:rtl w:val="0"/>
        </w:rPr>
        <w:t xml:space="preserve">(4), 919-937. https://doi.org/10.1353/tech.2010.0064</w:t>
      </w:r>
      <w:r w:rsidDel="00000000" w:rsidR="00000000" w:rsidRPr="00000000">
        <w:rPr>
          <w:rtl w:val="0"/>
        </w:rPr>
      </w:r>
    </w:p>
    <w:p w:rsidR="00000000" w:rsidDel="00000000" w:rsidP="00000000" w:rsidRDefault="00000000" w:rsidRPr="00000000" w14:paraId="000000C8">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Freire, P. (2000). </w:t>
      </w:r>
      <w:r w:rsidDel="00000000" w:rsidR="00000000" w:rsidRPr="00000000">
        <w:rPr>
          <w:rFonts w:ascii="Calibri" w:cs="Calibri" w:eastAsia="Calibri" w:hAnsi="Calibri"/>
          <w:b w:val="0"/>
          <w:bCs w:val="0"/>
          <w:i w:val="1"/>
          <w:iCs w:val="1"/>
          <w:sz w:val="22"/>
          <w:szCs w:val="22"/>
          <w:rtl w:val="0"/>
        </w:rPr>
        <w:t xml:space="preserve">Pedagogy of the oppressed</w:t>
      </w:r>
      <w:r w:rsidDel="00000000" w:rsidR="00000000" w:rsidRPr="00000000">
        <w:rPr>
          <w:rFonts w:ascii="Calibri" w:cs="Calibri" w:eastAsia="Calibri" w:hAnsi="Calibri"/>
          <w:b w:val="0"/>
          <w:bCs w:val="0"/>
          <w:i w:val="0"/>
          <w:iCs w:val="0"/>
          <w:sz w:val="22"/>
          <w:szCs w:val="22"/>
          <w:rtl w:val="0"/>
        </w:rPr>
        <w:t xml:space="preserve"> (M. B. Ramos, Trans.; 30th anniversary ed.). Continuum. (Original work published 1970)</w:t>
      </w:r>
      <w:r w:rsidDel="00000000" w:rsidR="00000000" w:rsidRPr="00000000">
        <w:rPr>
          <w:rtl w:val="0"/>
        </w:rPr>
      </w:r>
    </w:p>
    <w:p w:rsidR="00000000" w:rsidDel="00000000" w:rsidP="00000000" w:rsidRDefault="00000000" w:rsidRPr="00000000" w14:paraId="000000C9">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Fullan, M. (2011). </w:t>
      </w:r>
      <w:r w:rsidDel="00000000" w:rsidR="00000000" w:rsidRPr="00000000">
        <w:rPr>
          <w:rFonts w:ascii="Calibri" w:cs="Calibri" w:eastAsia="Calibri" w:hAnsi="Calibri"/>
          <w:b w:val="0"/>
          <w:bCs w:val="0"/>
          <w:i w:val="1"/>
          <w:iCs w:val="1"/>
          <w:sz w:val="22"/>
          <w:szCs w:val="22"/>
          <w:rtl w:val="0"/>
        </w:rPr>
        <w:t xml:space="preserve">Change leader: Learning to do what matters most</w:t>
      </w:r>
      <w:r w:rsidDel="00000000" w:rsidR="00000000" w:rsidRPr="00000000">
        <w:rPr>
          <w:rFonts w:ascii="Calibri" w:cs="Calibri" w:eastAsia="Calibri" w:hAnsi="Calibri"/>
          <w:b w:val="0"/>
          <w:bCs w:val="0"/>
          <w:i w:val="0"/>
          <w:iCs w:val="0"/>
          <w:sz w:val="22"/>
          <w:szCs w:val="22"/>
          <w:rtl w:val="0"/>
        </w:rPr>
        <w:t xml:space="preserve">. Jossey-Bass.</w:t>
      </w:r>
      <w:r w:rsidDel="00000000" w:rsidR="00000000" w:rsidRPr="00000000">
        <w:rPr>
          <w:rtl w:val="0"/>
        </w:rPr>
      </w:r>
    </w:p>
    <w:p w:rsidR="00000000" w:rsidDel="00000000" w:rsidP="00000000" w:rsidRDefault="00000000" w:rsidRPr="00000000" w14:paraId="000000CA">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Hollanek, T., &amp; Nowaczyk-Basińska, K. (2024). Griefbots, deadbots, postmortem avatars: On responsible applications of generative AI in the digital afterlife industry. </w:t>
      </w:r>
      <w:r w:rsidDel="00000000" w:rsidR="00000000" w:rsidRPr="00000000">
        <w:rPr>
          <w:rFonts w:ascii="Calibri" w:cs="Calibri" w:eastAsia="Calibri" w:hAnsi="Calibri"/>
          <w:b w:val="0"/>
          <w:bCs w:val="0"/>
          <w:i w:val="1"/>
          <w:iCs w:val="1"/>
          <w:sz w:val="22"/>
          <w:szCs w:val="22"/>
          <w:rtl w:val="0"/>
        </w:rPr>
        <w:t xml:space="preserve">Philosophy &amp; Technology, 37</w:t>
      </w:r>
      <w:r w:rsidDel="00000000" w:rsidR="00000000" w:rsidRPr="00000000">
        <w:rPr>
          <w:rFonts w:ascii="Calibri" w:cs="Calibri" w:eastAsia="Calibri" w:hAnsi="Calibri"/>
          <w:b w:val="0"/>
          <w:bCs w:val="0"/>
          <w:i w:val="0"/>
          <w:iCs w:val="0"/>
          <w:sz w:val="22"/>
          <w:szCs w:val="22"/>
          <w:rtl w:val="0"/>
        </w:rPr>
        <w:t xml:space="preserve">(2), 63. https://doi.org/10.1007/s13347-024-00744-w</w:t>
      </w:r>
      <w:r w:rsidDel="00000000" w:rsidR="00000000" w:rsidRPr="00000000">
        <w:rPr>
          <w:rtl w:val="0"/>
        </w:rPr>
      </w:r>
    </w:p>
    <w:p w:rsidR="00000000" w:rsidDel="00000000" w:rsidP="00000000" w:rsidRDefault="00000000" w:rsidRPr="00000000" w14:paraId="000000CB">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Kantabutra, S. (2008). What do we know about vision? </w:t>
      </w:r>
      <w:r w:rsidDel="00000000" w:rsidR="00000000" w:rsidRPr="00000000">
        <w:rPr>
          <w:rFonts w:ascii="Calibri" w:cs="Calibri" w:eastAsia="Calibri" w:hAnsi="Calibri"/>
          <w:b w:val="0"/>
          <w:bCs w:val="0"/>
          <w:i w:val="1"/>
          <w:iCs w:val="1"/>
          <w:sz w:val="22"/>
          <w:szCs w:val="22"/>
          <w:rtl w:val="0"/>
        </w:rPr>
        <w:t xml:space="preserve">Journal of Applied Business Research, 24</w:t>
      </w:r>
      <w:r w:rsidDel="00000000" w:rsidR="00000000" w:rsidRPr="00000000">
        <w:rPr>
          <w:rFonts w:ascii="Calibri" w:cs="Calibri" w:eastAsia="Calibri" w:hAnsi="Calibri"/>
          <w:b w:val="0"/>
          <w:bCs w:val="0"/>
          <w:i w:val="0"/>
          <w:iCs w:val="0"/>
          <w:sz w:val="22"/>
          <w:szCs w:val="22"/>
          <w:rtl w:val="0"/>
        </w:rPr>
        <w:t xml:space="preserve">(2), 127-138.</w:t>
      </w:r>
      <w:r w:rsidDel="00000000" w:rsidR="00000000" w:rsidRPr="00000000">
        <w:rPr>
          <w:rtl w:val="0"/>
        </w:rPr>
      </w:r>
    </w:p>
    <w:p w:rsidR="00000000" w:rsidDel="00000000" w:rsidP="00000000" w:rsidRDefault="00000000" w:rsidRPr="00000000" w14:paraId="000000CC">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Kotter, J. P. (2012). </w:t>
      </w:r>
      <w:r w:rsidDel="00000000" w:rsidR="00000000" w:rsidRPr="00000000">
        <w:rPr>
          <w:rFonts w:ascii="Calibri" w:cs="Calibri" w:eastAsia="Calibri" w:hAnsi="Calibri"/>
          <w:b w:val="0"/>
          <w:bCs w:val="0"/>
          <w:i w:val="1"/>
          <w:iCs w:val="1"/>
          <w:sz w:val="22"/>
          <w:szCs w:val="22"/>
          <w:rtl w:val="0"/>
        </w:rPr>
        <w:t xml:space="preserve">Leading change</w:t>
      </w:r>
      <w:r w:rsidDel="00000000" w:rsidR="00000000" w:rsidRPr="00000000">
        <w:rPr>
          <w:rFonts w:ascii="Calibri" w:cs="Calibri" w:eastAsia="Calibri" w:hAnsi="Calibri"/>
          <w:b w:val="0"/>
          <w:bCs w:val="0"/>
          <w:i w:val="0"/>
          <w:iCs w:val="0"/>
          <w:sz w:val="22"/>
          <w:szCs w:val="22"/>
          <w:rtl w:val="0"/>
        </w:rPr>
        <w:t xml:space="preserve">. Harvard Business Review Press.</w:t>
      </w:r>
      <w:r w:rsidDel="00000000" w:rsidR="00000000" w:rsidRPr="00000000">
        <w:rPr>
          <w:rtl w:val="0"/>
        </w:rPr>
      </w:r>
    </w:p>
    <w:p w:rsidR="00000000" w:rsidDel="00000000" w:rsidP="00000000" w:rsidRDefault="00000000" w:rsidRPr="00000000" w14:paraId="000000CD">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Ladson-Billings, G., &amp; Tate, W. F. (1995). Toward a critical race theory of education. </w:t>
      </w:r>
      <w:r w:rsidDel="00000000" w:rsidR="00000000" w:rsidRPr="00000000">
        <w:rPr>
          <w:rFonts w:ascii="Calibri" w:cs="Calibri" w:eastAsia="Calibri" w:hAnsi="Calibri"/>
          <w:b w:val="0"/>
          <w:bCs w:val="0"/>
          <w:i w:val="1"/>
          <w:iCs w:val="1"/>
          <w:sz w:val="22"/>
          <w:szCs w:val="22"/>
          <w:rtl w:val="0"/>
        </w:rPr>
        <w:t xml:space="preserve">Teachers College Record, 97</w:t>
      </w:r>
      <w:r w:rsidDel="00000000" w:rsidR="00000000" w:rsidRPr="00000000">
        <w:rPr>
          <w:rFonts w:ascii="Calibri" w:cs="Calibri" w:eastAsia="Calibri" w:hAnsi="Calibri"/>
          <w:b w:val="0"/>
          <w:bCs w:val="0"/>
          <w:i w:val="0"/>
          <w:iCs w:val="0"/>
          <w:sz w:val="22"/>
          <w:szCs w:val="22"/>
          <w:rtl w:val="0"/>
        </w:rPr>
        <w:t xml:space="preserve">(1), 47-68.</w:t>
      </w:r>
      <w:r w:rsidDel="00000000" w:rsidR="00000000" w:rsidRPr="00000000">
        <w:rPr>
          <w:rtl w:val="0"/>
        </w:rPr>
      </w:r>
    </w:p>
    <w:p w:rsidR="00000000" w:rsidDel="00000000" w:rsidP="00000000" w:rsidRDefault="00000000" w:rsidRPr="00000000" w14:paraId="000000CE">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Lehrman v. Lovo, Inc., 24-CV-3770 (JPO) (S.D.N.Y. July 10, 2025).</w:t>
      </w:r>
      <w:r w:rsidDel="00000000" w:rsidR="00000000" w:rsidRPr="00000000">
        <w:rPr>
          <w:rtl w:val="0"/>
        </w:rPr>
      </w:r>
    </w:p>
    <w:p w:rsidR="00000000" w:rsidDel="00000000" w:rsidP="00000000" w:rsidRDefault="00000000" w:rsidRPr="00000000" w14:paraId="000000CF">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Ludema, J. D., Cooperrider, D. L., &amp; Barrett, F. J. (2006). Appreciative inquiry: The power of the unconditional positive question. In P. Reason &amp; H. Bradbury (Eds.), </w:t>
      </w:r>
      <w:r w:rsidDel="00000000" w:rsidR="00000000" w:rsidRPr="00000000">
        <w:rPr>
          <w:rFonts w:ascii="Calibri" w:cs="Calibri" w:eastAsia="Calibri" w:hAnsi="Calibri"/>
          <w:b w:val="0"/>
          <w:bCs w:val="0"/>
          <w:i w:val="1"/>
          <w:iCs w:val="1"/>
          <w:sz w:val="22"/>
          <w:szCs w:val="22"/>
          <w:rtl w:val="0"/>
        </w:rPr>
        <w:t xml:space="preserve">Handbook of action research: Participative inquiry and practice</w:t>
      </w:r>
      <w:r w:rsidDel="00000000" w:rsidR="00000000" w:rsidRPr="00000000">
        <w:rPr>
          <w:rFonts w:ascii="Calibri" w:cs="Calibri" w:eastAsia="Calibri" w:hAnsi="Calibri"/>
          <w:b w:val="0"/>
          <w:bCs w:val="0"/>
          <w:i w:val="0"/>
          <w:iCs w:val="0"/>
          <w:sz w:val="22"/>
          <w:szCs w:val="22"/>
          <w:rtl w:val="0"/>
        </w:rPr>
        <w:t xml:space="preserve"> (pp. 189-199). SAGE.</w:t>
      </w:r>
      <w:r w:rsidDel="00000000" w:rsidR="00000000" w:rsidRPr="00000000">
        <w:rPr>
          <w:rtl w:val="0"/>
        </w:rPr>
      </w:r>
    </w:p>
    <w:p w:rsidR="00000000" w:rsidDel="00000000" w:rsidP="00000000" w:rsidRDefault="00000000" w:rsidRPr="00000000" w14:paraId="000000D0">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Li, Z., Wang, Z., Wang, W., Hung, K., Xie, H., &amp; Wang, F. L. (2025). Retrieval-augmented generation for educational application: A systematic survey. </w:t>
      </w:r>
      <w:r w:rsidDel="00000000" w:rsidR="00000000" w:rsidRPr="00000000">
        <w:rPr>
          <w:rFonts w:ascii="Calibri" w:cs="Calibri" w:eastAsia="Calibri" w:hAnsi="Calibri"/>
          <w:b w:val="0"/>
          <w:bCs w:val="0"/>
          <w:i w:val="1"/>
          <w:iCs w:val="1"/>
          <w:sz w:val="22"/>
          <w:szCs w:val="22"/>
          <w:rtl w:val="0"/>
        </w:rPr>
        <w:t xml:space="preserve">Computers and Education: Artificial Intelligence, 8</w:t>
      </w:r>
      <w:r w:rsidDel="00000000" w:rsidR="00000000" w:rsidRPr="00000000">
        <w:rPr>
          <w:rFonts w:ascii="Calibri" w:cs="Calibri" w:eastAsia="Calibri" w:hAnsi="Calibri"/>
          <w:b w:val="0"/>
          <w:bCs w:val="0"/>
          <w:i w:val="0"/>
          <w:iCs w:val="0"/>
          <w:sz w:val="22"/>
          <w:szCs w:val="22"/>
          <w:rtl w:val="0"/>
        </w:rPr>
        <w:t xml:space="preserve">, Article 100417. https://doi.org/10.1016/j.caeai.2025.100417</w:t>
      </w:r>
      <w:r w:rsidDel="00000000" w:rsidR="00000000" w:rsidRPr="00000000">
        <w:rPr>
          <w:rtl w:val="0"/>
        </w:rPr>
      </w:r>
    </w:p>
    <w:p w:rsidR="00000000" w:rsidDel="00000000" w:rsidP="00000000" w:rsidRDefault="00000000" w:rsidRPr="00000000" w14:paraId="000000D1">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Magesh, V., Surani, F., Dahl, M., Suzgun, M., Manning, C. D., &amp; Ho, D. E. (2025). Hallucination-free? Assessing the reliability of leading AI legal research tools. </w:t>
      </w:r>
      <w:r w:rsidDel="00000000" w:rsidR="00000000" w:rsidRPr="00000000">
        <w:rPr>
          <w:rFonts w:ascii="Calibri" w:cs="Calibri" w:eastAsia="Calibri" w:hAnsi="Calibri"/>
          <w:b w:val="0"/>
          <w:bCs w:val="0"/>
          <w:i w:val="1"/>
          <w:iCs w:val="1"/>
          <w:sz w:val="22"/>
          <w:szCs w:val="22"/>
          <w:rtl w:val="0"/>
        </w:rPr>
        <w:t xml:space="preserve">Journal of Empirical Legal Studies</w:t>
      </w:r>
      <w:r w:rsidDel="00000000" w:rsidR="00000000" w:rsidRPr="00000000">
        <w:rPr>
          <w:rFonts w:ascii="Calibri" w:cs="Calibri" w:eastAsia="Calibri" w:hAnsi="Calibri"/>
          <w:b w:val="0"/>
          <w:bCs w:val="0"/>
          <w:i w:val="0"/>
          <w:iCs w:val="0"/>
          <w:sz w:val="22"/>
          <w:szCs w:val="22"/>
          <w:rtl w:val="0"/>
        </w:rPr>
        <w:t xml:space="preserve">. https://doi.org/10.1111/jels.12413</w:t>
      </w:r>
      <w:r w:rsidDel="00000000" w:rsidR="00000000" w:rsidRPr="00000000">
        <w:rPr>
          <w:rtl w:val="0"/>
        </w:rPr>
      </w:r>
    </w:p>
    <w:p w:rsidR="00000000" w:rsidDel="00000000" w:rsidP="00000000" w:rsidRDefault="00000000" w:rsidRPr="00000000" w14:paraId="000000D2">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Martin, M. G. (2022). </w:t>
      </w:r>
      <w:r w:rsidDel="00000000" w:rsidR="00000000" w:rsidRPr="00000000">
        <w:rPr>
          <w:rFonts w:ascii="Calibri" w:cs="Calibri" w:eastAsia="Calibri" w:hAnsi="Calibri"/>
          <w:b w:val="0"/>
          <w:bCs w:val="0"/>
          <w:i w:val="1"/>
          <w:iCs w:val="1"/>
          <w:sz w:val="22"/>
          <w:szCs w:val="22"/>
          <w:rtl w:val="0"/>
        </w:rPr>
        <w:t xml:space="preserve">The fourth industrial superintendent: A shared vision case study</w:t>
      </w:r>
      <w:r w:rsidDel="00000000" w:rsidR="00000000" w:rsidRPr="00000000">
        <w:rPr>
          <w:rFonts w:ascii="Calibri" w:cs="Calibri" w:eastAsia="Calibri" w:hAnsi="Calibri"/>
          <w:b w:val="0"/>
          <w:bCs w:val="0"/>
          <w:i w:val="0"/>
          <w:iCs w:val="0"/>
          <w:sz w:val="22"/>
          <w:szCs w:val="22"/>
          <w:rtl w:val="0"/>
        </w:rPr>
        <w:t xml:space="preserve"> [Doctoral dissertation, University of Southern California]. USC Digital Library.</w:t>
      </w:r>
      <w:r w:rsidDel="00000000" w:rsidR="00000000" w:rsidRPr="00000000">
        <w:rPr>
          <w:rtl w:val="0"/>
        </w:rPr>
      </w:r>
    </w:p>
    <w:p w:rsidR="00000000" w:rsidDel="00000000" w:rsidP="00000000" w:rsidRDefault="00000000" w:rsidRPr="00000000" w14:paraId="000000D3">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Mollick, E. R., &amp; Mollick, L. (2023). Assigning AI: Seven approaches for students, with prompts. </w:t>
      </w:r>
      <w:r w:rsidDel="00000000" w:rsidR="00000000" w:rsidRPr="00000000">
        <w:rPr>
          <w:rFonts w:ascii="Calibri" w:cs="Calibri" w:eastAsia="Calibri" w:hAnsi="Calibri"/>
          <w:b w:val="0"/>
          <w:bCs w:val="0"/>
          <w:i w:val="1"/>
          <w:iCs w:val="1"/>
          <w:sz w:val="22"/>
          <w:szCs w:val="22"/>
          <w:rtl w:val="0"/>
        </w:rPr>
        <w:t xml:space="preserve">Wharton School Working Paper</w:t>
      </w:r>
      <w:r w:rsidDel="00000000" w:rsidR="00000000" w:rsidRPr="00000000">
        <w:rPr>
          <w:rFonts w:ascii="Calibri" w:cs="Calibri" w:eastAsia="Calibri" w:hAnsi="Calibri"/>
          <w:b w:val="0"/>
          <w:bCs w:val="0"/>
          <w:i w:val="0"/>
          <w:iCs w:val="0"/>
          <w:sz w:val="22"/>
          <w:szCs w:val="22"/>
          <w:rtl w:val="0"/>
        </w:rPr>
        <w:t xml:space="preserve">. https://doi.org/10.2139/ssrn.4475995</w:t>
      </w:r>
      <w:r w:rsidDel="00000000" w:rsidR="00000000" w:rsidRPr="00000000">
        <w:rPr>
          <w:rtl w:val="0"/>
        </w:rPr>
      </w:r>
    </w:p>
    <w:p w:rsidR="00000000" w:rsidDel="00000000" w:rsidP="00000000" w:rsidRDefault="00000000" w:rsidRPr="00000000" w14:paraId="000000D4">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Morris, M. R., &amp; Brubaker, J. R. (2024). Generative ghosts: Anticipating benefits and risks of AI afterlives. </w:t>
      </w:r>
      <w:r w:rsidDel="00000000" w:rsidR="00000000" w:rsidRPr="00000000">
        <w:rPr>
          <w:rFonts w:ascii="Calibri" w:cs="Calibri" w:eastAsia="Calibri" w:hAnsi="Calibri"/>
          <w:b w:val="0"/>
          <w:bCs w:val="0"/>
          <w:i w:val="1"/>
          <w:iCs w:val="1"/>
          <w:sz w:val="22"/>
          <w:szCs w:val="22"/>
          <w:rtl w:val="0"/>
        </w:rPr>
        <w:t xml:space="preserve">Proceedings of the ACM on Human-Computer Interaction, 8</w:t>
      </w:r>
      <w:r w:rsidDel="00000000" w:rsidR="00000000" w:rsidRPr="00000000">
        <w:rPr>
          <w:rFonts w:ascii="Calibri" w:cs="Calibri" w:eastAsia="Calibri" w:hAnsi="Calibri"/>
          <w:b w:val="0"/>
          <w:bCs w:val="0"/>
          <w:i w:val="0"/>
          <w:iCs w:val="0"/>
          <w:sz w:val="22"/>
          <w:szCs w:val="22"/>
          <w:rtl w:val="0"/>
        </w:rPr>
        <w:t xml:space="preserve">(CSCW2), 1-27. https://doi.org/10.1145/3686968</w:t>
      </w:r>
      <w:r w:rsidDel="00000000" w:rsidR="00000000" w:rsidRPr="00000000">
        <w:rPr>
          <w:rtl w:val="0"/>
        </w:rPr>
      </w:r>
    </w:p>
    <w:p w:rsidR="00000000" w:rsidDel="00000000" w:rsidP="00000000" w:rsidRDefault="00000000" w:rsidRPr="00000000" w14:paraId="000000D5">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Öhman, C., &amp; Floridi, L. (2018). An ethical framework for the digital afterlife industry. </w:t>
      </w:r>
      <w:r w:rsidDel="00000000" w:rsidR="00000000" w:rsidRPr="00000000">
        <w:rPr>
          <w:rFonts w:ascii="Calibri" w:cs="Calibri" w:eastAsia="Calibri" w:hAnsi="Calibri"/>
          <w:b w:val="0"/>
          <w:bCs w:val="0"/>
          <w:i w:val="1"/>
          <w:iCs w:val="1"/>
          <w:sz w:val="22"/>
          <w:szCs w:val="22"/>
          <w:rtl w:val="0"/>
        </w:rPr>
        <w:t xml:space="preserve">Nature Human Behaviour, 2</w:t>
      </w:r>
      <w:r w:rsidDel="00000000" w:rsidR="00000000" w:rsidRPr="00000000">
        <w:rPr>
          <w:rFonts w:ascii="Calibri" w:cs="Calibri" w:eastAsia="Calibri" w:hAnsi="Calibri"/>
          <w:b w:val="0"/>
          <w:bCs w:val="0"/>
          <w:i w:val="0"/>
          <w:iCs w:val="0"/>
          <w:sz w:val="22"/>
          <w:szCs w:val="22"/>
          <w:rtl w:val="0"/>
        </w:rPr>
        <w:t xml:space="preserve">(5), 318-320. https://doi.org/10.1038/s41562-018-0335-2</w:t>
      </w:r>
      <w:r w:rsidDel="00000000" w:rsidR="00000000" w:rsidRPr="00000000">
        <w:rPr>
          <w:rtl w:val="0"/>
        </w:rPr>
      </w:r>
    </w:p>
    <w:p w:rsidR="00000000" w:rsidDel="00000000" w:rsidP="00000000" w:rsidRDefault="00000000" w:rsidRPr="00000000" w14:paraId="000000D6">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Sharma, T., Zhou, Y., &amp; Berisha, V. (2025). PRAC3 (Privacy, Reputation, Accountability, Consent, Credit, Compensation): Voice actors in AI data-economy. </w:t>
      </w:r>
      <w:r w:rsidDel="00000000" w:rsidR="00000000" w:rsidRPr="00000000">
        <w:rPr>
          <w:rFonts w:ascii="Calibri" w:cs="Calibri" w:eastAsia="Calibri" w:hAnsi="Calibri"/>
          <w:b w:val="0"/>
          <w:bCs w:val="0"/>
          <w:i w:val="1"/>
          <w:iCs w:val="1"/>
          <w:sz w:val="22"/>
          <w:szCs w:val="22"/>
          <w:rtl w:val="0"/>
        </w:rPr>
        <w:t xml:space="preserve">Proceedings of the AAAI/ACM Conference on AI, Ethics, and Society, 8</w:t>
      </w:r>
      <w:r w:rsidDel="00000000" w:rsidR="00000000" w:rsidRPr="00000000">
        <w:rPr>
          <w:rFonts w:ascii="Calibri" w:cs="Calibri" w:eastAsia="Calibri" w:hAnsi="Calibri"/>
          <w:b w:val="0"/>
          <w:bCs w:val="0"/>
          <w:i w:val="0"/>
          <w:iCs w:val="0"/>
          <w:sz w:val="22"/>
          <w:szCs w:val="22"/>
          <w:rtl w:val="0"/>
        </w:rPr>
        <w:t xml:space="preserve">(3). https://doi.org/10.1609/aies.v8i3.36721</w:t>
      </w:r>
      <w:r w:rsidDel="00000000" w:rsidR="00000000" w:rsidRPr="00000000">
        <w:rPr>
          <w:rtl w:val="0"/>
        </w:rPr>
      </w:r>
    </w:p>
    <w:p w:rsidR="00000000" w:rsidDel="00000000" w:rsidP="00000000" w:rsidRDefault="00000000" w:rsidRPr="00000000" w14:paraId="000000D7">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Swacha, J., &amp; Gracel, M. (2025). Retrieval-augmented generation (RAG) chatbots for education: A survey of applications. </w:t>
      </w:r>
      <w:r w:rsidDel="00000000" w:rsidR="00000000" w:rsidRPr="00000000">
        <w:rPr>
          <w:rFonts w:ascii="Calibri" w:cs="Calibri" w:eastAsia="Calibri" w:hAnsi="Calibri"/>
          <w:b w:val="0"/>
          <w:bCs w:val="0"/>
          <w:i w:val="1"/>
          <w:iCs w:val="1"/>
          <w:sz w:val="22"/>
          <w:szCs w:val="22"/>
          <w:rtl w:val="0"/>
        </w:rPr>
        <w:t xml:space="preserve">Applied Sciences, 15</w:t>
      </w:r>
      <w:r w:rsidDel="00000000" w:rsidR="00000000" w:rsidRPr="00000000">
        <w:rPr>
          <w:rFonts w:ascii="Calibri" w:cs="Calibri" w:eastAsia="Calibri" w:hAnsi="Calibri"/>
          <w:b w:val="0"/>
          <w:bCs w:val="0"/>
          <w:i w:val="0"/>
          <w:iCs w:val="0"/>
          <w:sz w:val="22"/>
          <w:szCs w:val="22"/>
          <w:rtl w:val="0"/>
        </w:rPr>
        <w:t xml:space="preserve">(8), Article 4234. https://doi.org/10.3390/app15084234</w:t>
      </w:r>
      <w:r w:rsidDel="00000000" w:rsidR="00000000" w:rsidRPr="00000000">
        <w:rPr>
          <w:rtl w:val="0"/>
        </w:rPr>
      </w:r>
    </w:p>
    <w:p w:rsidR="00000000" w:rsidDel="00000000" w:rsidP="00000000" w:rsidRDefault="00000000" w:rsidRPr="00000000" w14:paraId="000000D8">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Senge, P. M. (1990). </w:t>
      </w:r>
      <w:r w:rsidDel="00000000" w:rsidR="00000000" w:rsidRPr="00000000">
        <w:rPr>
          <w:rFonts w:ascii="Calibri" w:cs="Calibri" w:eastAsia="Calibri" w:hAnsi="Calibri"/>
          <w:b w:val="0"/>
          <w:bCs w:val="0"/>
          <w:i w:val="1"/>
          <w:iCs w:val="1"/>
          <w:sz w:val="22"/>
          <w:szCs w:val="22"/>
          <w:rtl w:val="0"/>
        </w:rPr>
        <w:t xml:space="preserve">The fifth discipline: The art and practice of the learning organization</w:t>
      </w:r>
      <w:r w:rsidDel="00000000" w:rsidR="00000000" w:rsidRPr="00000000">
        <w:rPr>
          <w:rFonts w:ascii="Calibri" w:cs="Calibri" w:eastAsia="Calibri" w:hAnsi="Calibri"/>
          <w:b w:val="0"/>
          <w:bCs w:val="0"/>
          <w:i w:val="0"/>
          <w:iCs w:val="0"/>
          <w:sz w:val="22"/>
          <w:szCs w:val="22"/>
          <w:rtl w:val="0"/>
        </w:rPr>
        <w:t xml:space="preserve">. Doubleday.</w:t>
      </w:r>
      <w:r w:rsidDel="00000000" w:rsidR="00000000" w:rsidRPr="00000000">
        <w:rPr>
          <w:rtl w:val="0"/>
        </w:rPr>
      </w:r>
    </w:p>
    <w:p w:rsidR="00000000" w:rsidDel="00000000" w:rsidP="00000000" w:rsidRDefault="00000000" w:rsidRPr="00000000" w14:paraId="000000D9">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Sinclair, B. (1998). Teaching about technology and African American history. </w:t>
      </w:r>
      <w:r w:rsidDel="00000000" w:rsidR="00000000" w:rsidRPr="00000000">
        <w:rPr>
          <w:rFonts w:ascii="Calibri" w:cs="Calibri" w:eastAsia="Calibri" w:hAnsi="Calibri"/>
          <w:b w:val="0"/>
          <w:bCs w:val="0"/>
          <w:i w:val="1"/>
          <w:iCs w:val="1"/>
          <w:sz w:val="22"/>
          <w:szCs w:val="22"/>
          <w:rtl w:val="0"/>
        </w:rPr>
        <w:t xml:space="preserve">OAH Magazine of History, 12</w:t>
      </w:r>
      <w:r w:rsidDel="00000000" w:rsidR="00000000" w:rsidRPr="00000000">
        <w:rPr>
          <w:rFonts w:ascii="Calibri" w:cs="Calibri" w:eastAsia="Calibri" w:hAnsi="Calibri"/>
          <w:b w:val="0"/>
          <w:bCs w:val="0"/>
          <w:i w:val="0"/>
          <w:iCs w:val="0"/>
          <w:sz w:val="22"/>
          <w:szCs w:val="22"/>
          <w:rtl w:val="0"/>
        </w:rPr>
        <w:t xml:space="preserve">(2), 14-17. https://doi.org/10.1093/maghis/12.2.14</w:t>
      </w:r>
      <w:r w:rsidDel="00000000" w:rsidR="00000000" w:rsidRPr="00000000">
        <w:rPr>
          <w:rtl w:val="0"/>
        </w:rPr>
      </w:r>
    </w:p>
    <w:p w:rsidR="00000000" w:rsidDel="00000000" w:rsidP="00000000" w:rsidRDefault="00000000" w:rsidRPr="00000000" w14:paraId="000000DA">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Trotter, J. W. (2000). African Americans and the Industrial Revolution. </w:t>
      </w:r>
      <w:r w:rsidDel="00000000" w:rsidR="00000000" w:rsidRPr="00000000">
        <w:rPr>
          <w:rFonts w:ascii="Calibri" w:cs="Calibri" w:eastAsia="Calibri" w:hAnsi="Calibri"/>
          <w:b w:val="0"/>
          <w:bCs w:val="0"/>
          <w:i w:val="1"/>
          <w:iCs w:val="1"/>
          <w:sz w:val="22"/>
          <w:szCs w:val="22"/>
          <w:rtl w:val="0"/>
        </w:rPr>
        <w:t xml:space="preserve">OAH Magazine of History, 15</w:t>
      </w:r>
      <w:r w:rsidDel="00000000" w:rsidR="00000000" w:rsidRPr="00000000">
        <w:rPr>
          <w:rFonts w:ascii="Calibri" w:cs="Calibri" w:eastAsia="Calibri" w:hAnsi="Calibri"/>
          <w:b w:val="0"/>
          <w:bCs w:val="0"/>
          <w:i w:val="0"/>
          <w:iCs w:val="0"/>
          <w:sz w:val="22"/>
          <w:szCs w:val="22"/>
          <w:rtl w:val="0"/>
        </w:rPr>
        <w:t xml:space="preserve">(1), 19-23. https://doi.org/10.1093/maghis/15.1.19</w:t>
      </w:r>
      <w:r w:rsidDel="00000000" w:rsidR="00000000" w:rsidRPr="00000000">
        <w:rPr>
          <w:rtl w:val="0"/>
        </w:rPr>
      </w:r>
    </w:p>
    <w:p w:rsidR="00000000" w:rsidDel="00000000" w:rsidP="00000000" w:rsidRDefault="00000000" w:rsidRPr="00000000" w14:paraId="000000DB">
      <w:pPr>
        <w:spacing w:after="120" w:line="276" w:lineRule="auto"/>
        <w:ind w:left="720" w:hanging="720"/>
        <w:jc w:val="left"/>
        <w:rPr/>
      </w:pPr>
      <w:r w:rsidDel="00000000" w:rsidR="00000000" w:rsidRPr="00000000">
        <w:rPr>
          <w:rFonts w:ascii="Calibri" w:cs="Calibri" w:eastAsia="Calibri" w:hAnsi="Calibri"/>
          <w:b w:val="0"/>
          <w:bCs w:val="0"/>
          <w:i w:val="0"/>
          <w:iCs w:val="0"/>
          <w:sz w:val="22"/>
          <w:szCs w:val="22"/>
          <w:rtl w:val="0"/>
        </w:rPr>
        <w:t xml:space="preserve">UNESCO. (2025). </w:t>
      </w:r>
      <w:r w:rsidDel="00000000" w:rsidR="00000000" w:rsidRPr="00000000">
        <w:rPr>
          <w:rFonts w:ascii="Calibri" w:cs="Calibri" w:eastAsia="Calibri" w:hAnsi="Calibri"/>
          <w:b w:val="0"/>
          <w:bCs w:val="0"/>
          <w:i w:val="1"/>
          <w:iCs w:val="1"/>
          <w:sz w:val="22"/>
          <w:szCs w:val="22"/>
          <w:rtl w:val="0"/>
        </w:rPr>
        <w:t xml:space="preserve">Report of the Independent Expert Group on AI and Culture</w:t>
      </w:r>
      <w:r w:rsidDel="00000000" w:rsidR="00000000" w:rsidRPr="00000000">
        <w:rPr>
          <w:rFonts w:ascii="Calibri" w:cs="Calibri" w:eastAsia="Calibri" w:hAnsi="Calibri"/>
          <w:b w:val="0"/>
          <w:bCs w:val="0"/>
          <w:i w:val="0"/>
          <w:iCs w:val="0"/>
          <w:sz w:val="22"/>
          <w:szCs w:val="22"/>
          <w:rtl w:val="0"/>
        </w:rPr>
        <w:t xml:space="preserve">. United Nations Educational, Scientific and Cultural Organization. https://unesdoc.unesco.org/ai-culture-2025</w:t>
      </w:r>
      <w:r w:rsidDel="00000000" w:rsidR="00000000" w:rsidRPr="00000000">
        <w:rPr>
          <w:rtl w:val="0"/>
        </w:rPr>
      </w:r>
    </w:p>
    <w:p w:rsidR="00000000" w:rsidDel="00000000" w:rsidP="00000000" w:rsidRDefault="00000000" w:rsidRPr="00000000" w14:paraId="000000DC">
      <w:pPr>
        <w:spacing w:after="120" w:line="276" w:lineRule="auto"/>
        <w:ind w:left="720" w:hanging="720"/>
        <w:jc w:val="left"/>
        <w:rPr/>
      </w:pPr>
      <w:r w:rsidDel="00000000" w:rsidR="00000000" w:rsidRPr="00000000">
        <w:rPr>
          <w:rFonts w:ascii="Calibri" w:cs="Calibri" w:eastAsia="Calibri" w:hAnsi="Calibri"/>
          <w:b w:val="0"/>
          <w:bCs w:val="0"/>
          <w:i w:val="1"/>
          <w:iCs w:val="1"/>
          <w:sz w:val="22"/>
          <w:szCs w:val="22"/>
          <w:rtl w:val="0"/>
        </w:rPr>
        <w:t xml:space="preserve">End of manuscript. Word count target 7,000-8,000 in body; draft not yet reviewed by Dr. Cortés.</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rie Ginger Martin" w:id="1" w:date="2026-05-08T15:58:16Z">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 will also add participatory design literature - Still Design justice principals as well as other participatory design practice (I have a spreadsheet of studies that I will look up).</w:t>
      </w:r>
    </w:p>
  </w:comment>
  <w:comment w:author="Marie Ginger Martin" w:id="0" w:date="2026-05-08T15:54:52Z">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CHarles wrote the taxonomy document. Should we include that as an appendix?</w:t>
      </w:r>
    </w:p>
  </w:comment>
  <w:comment w:author="Marie Ginger Martin" w:id="2" w:date="2026-05-08T15:58:50Z">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 can talk again about affordances and who is afforded the right to decide within the curation.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DD" w15:done="0"/>
  <w15:commentEx w15:paraId="000000DE" w15:done="0"/>
  <w15:commentEx w15:paraId="000000D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tdgBhDgTT44R5rXlxmG44CORw==">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