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center"/>
        <w:rPr>
          <w:rFonts w:ascii="Calibri" w:cs="Calibri" w:eastAsia="Calibri" w:hAnsi="Calibri"/>
          <w:b w:val="1"/>
          <w:bCs w:val="1"/>
          <w:i w:val="0"/>
          <w:iCs w:val="0"/>
          <w:sz w:val="40"/>
          <w:szCs w:val="40"/>
        </w:rPr>
      </w:pPr>
      <w:r w:rsidDel="00000000" w:rsidR="00000000" w:rsidRPr="00000000">
        <w:rPr>
          <w:rFonts w:ascii="Calibri" w:cs="Calibri" w:eastAsia="Calibri" w:hAnsi="Calibri"/>
          <w:b w:val="1"/>
          <w:bCs w:val="1"/>
          <w:i w:val="0"/>
          <w:iCs w:val="0"/>
          <w:sz w:val="40"/>
          <w:szCs w:val="40"/>
          <w:rtl w:val="0"/>
        </w:rPr>
        <w:t xml:space="preserve">Teaching with a Living Legacy: Building an Ethical Retrieval-Augmented Companion for a Half</w:t>
      </w:r>
      <w:r w:rsidDel="00000000" w:rsidR="00000000" w:rsidRPr="00000000">
        <w:rPr>
          <w:b w:val="1"/>
          <w:bCs w:val="1"/>
          <w:sz w:val="40"/>
          <w:szCs w:val="40"/>
          <w:rtl w:val="0"/>
        </w:rPr>
        <w:t xml:space="preserve">-Century Scholar of Diversity</w:t>
      </w:r>
      <w:r w:rsidDel="00000000" w:rsidR="00000000" w:rsidRPr="00000000">
        <w:rPr>
          <w:rFonts w:ascii="Calibri" w:cs="Calibri" w:eastAsia="Calibri" w:hAnsi="Calibri"/>
          <w:b w:val="1"/>
          <w:bCs w:val="1"/>
          <w:i w:val="0"/>
          <w:iCs w:val="0"/>
          <w:sz w:val="40"/>
          <w:szCs w:val="40"/>
          <w:rtl w:val="0"/>
        </w:rPr>
        <w:t xml:space="preserve"> </w:t>
      </w:r>
    </w:p>
    <w:p w:rsidR="00000000" w:rsidDel="00000000" w:rsidP="00000000" w:rsidRDefault="00000000" w:rsidRPr="00000000" w14:paraId="00000002">
      <w:pPr>
        <w:spacing w:after="160" w:line="276" w:lineRule="auto"/>
        <w:jc w:val="center"/>
        <w:rPr/>
      </w:pPr>
      <w:r w:rsidDel="00000000" w:rsidR="00000000" w:rsidRPr="00000000">
        <w:rPr>
          <w:rFonts w:ascii="Calibri" w:cs="Calibri" w:eastAsia="Calibri" w:hAnsi="Calibri"/>
          <w:b w:val="0"/>
          <w:bCs w:val="0"/>
          <w:i w:val="1"/>
          <w:iCs w:val="1"/>
          <w:sz w:val="22"/>
          <w:szCs w:val="22"/>
          <w:rtl w:val="0"/>
        </w:rPr>
        <w:t xml:space="preserve">Running head: Teaching with a Living Legacy</w:t>
      </w:r>
      <w:r w:rsidDel="00000000" w:rsidR="00000000" w:rsidRPr="00000000">
        <w:rPr>
          <w:rtl w:val="0"/>
        </w:rPr>
      </w:r>
    </w:p>
    <w:p w:rsidR="00000000" w:rsidDel="00000000" w:rsidP="00000000" w:rsidRDefault="00000000" w:rsidRPr="00000000" w14:paraId="00000003">
      <w:pPr>
        <w:spacing w:after="40" w:line="276" w:lineRule="auto"/>
        <w:jc w:val="center"/>
        <w:rPr/>
      </w:pPr>
      <w:r w:rsidDel="00000000" w:rsidR="00000000" w:rsidRPr="00000000">
        <w:rPr>
          <w:rFonts w:ascii="Calibri" w:cs="Calibri" w:eastAsia="Calibri" w:hAnsi="Calibri"/>
          <w:b w:val="1"/>
          <w:bCs w:val="1"/>
          <w:i w:val="0"/>
          <w:iCs w:val="0"/>
          <w:sz w:val="22"/>
          <w:szCs w:val="22"/>
          <w:rtl w:val="0"/>
        </w:rPr>
        <w:t xml:space="preserve">Marie Martin, Ed.L.</w:t>
      </w:r>
      <w:r w:rsidDel="00000000" w:rsidR="00000000" w:rsidRPr="00000000">
        <w:rPr>
          <w:rFonts w:ascii="Calibri" w:cs="Calibri" w:eastAsia="Calibri" w:hAnsi="Calibri"/>
          <w:b w:val="0"/>
          <w:bCs w:val="0"/>
          <w:i w:val="0"/>
          <w:iCs w:val="0"/>
          <w:sz w:val="22"/>
          <w:szCs w:val="22"/>
          <w:rtl w:val="0"/>
        </w:rPr>
        <w:t xml:space="preserve"> Alexandria's Design, Carlsbad, California, USA</w:t>
      </w:r>
      <w:r w:rsidDel="00000000" w:rsidR="00000000" w:rsidRPr="00000000">
        <w:rPr>
          <w:rtl w:val="0"/>
        </w:rPr>
      </w:r>
    </w:p>
    <w:p w:rsidR="00000000" w:rsidDel="00000000" w:rsidP="00000000" w:rsidRDefault="00000000" w:rsidRPr="00000000" w14:paraId="00000004">
      <w:pPr>
        <w:spacing w:after="40" w:line="276" w:lineRule="auto"/>
        <w:jc w:val="center"/>
        <w:rPr/>
      </w:pPr>
      <w:r w:rsidDel="00000000" w:rsidR="00000000" w:rsidRPr="00000000">
        <w:rPr>
          <w:rFonts w:ascii="Calibri" w:cs="Calibri" w:eastAsia="Calibri" w:hAnsi="Calibri"/>
          <w:b w:val="1"/>
          <w:bCs w:val="1"/>
          <w:i w:val="0"/>
          <w:iCs w:val="0"/>
          <w:sz w:val="22"/>
          <w:szCs w:val="22"/>
          <w:rtl w:val="0"/>
        </w:rPr>
        <w:t xml:space="preserve">Carlos E. Cortés, Ph.D.</w:t>
      </w:r>
      <w:r w:rsidDel="00000000" w:rsidR="00000000" w:rsidRPr="00000000">
        <w:rPr>
          <w:rFonts w:ascii="Calibri" w:cs="Calibri" w:eastAsia="Calibri" w:hAnsi="Calibri"/>
          <w:b w:val="0"/>
          <w:bCs w:val="0"/>
          <w:i w:val="0"/>
          <w:iCs w:val="0"/>
          <w:sz w:val="22"/>
          <w:szCs w:val="22"/>
          <w:rtl w:val="0"/>
        </w:rPr>
        <w:t xml:space="preserve"> Department of History (Emeritus), University of California, Riverside, Riverside, California, USA</w:t>
      </w:r>
      <w:r w:rsidDel="00000000" w:rsidR="00000000" w:rsidRPr="00000000">
        <w:rPr>
          <w:rtl w:val="0"/>
        </w:rPr>
      </w:r>
    </w:p>
    <w:p w:rsidR="00000000" w:rsidDel="00000000" w:rsidP="00000000" w:rsidRDefault="00000000" w:rsidRPr="00000000" w14:paraId="00000005">
      <w:pPr>
        <w:spacing w:after="40" w:line="276" w:lineRule="auto"/>
        <w:jc w:val="center"/>
        <w:rPr/>
      </w:pPr>
      <w:r w:rsidDel="00000000" w:rsidR="00000000" w:rsidRPr="00000000">
        <w:rPr>
          <w:rFonts w:ascii="Calibri" w:cs="Calibri" w:eastAsia="Calibri" w:hAnsi="Calibri"/>
          <w:b w:val="1"/>
          <w:bCs w:val="1"/>
          <w:i w:val="0"/>
          <w:iCs w:val="0"/>
          <w:sz w:val="22"/>
          <w:szCs w:val="22"/>
          <w:rtl w:val="0"/>
        </w:rPr>
        <w:t xml:space="preserve">Charles Martin, Ed.D.</w:t>
      </w:r>
      <w:r w:rsidDel="00000000" w:rsidR="00000000" w:rsidRPr="00000000">
        <w:rPr>
          <w:rFonts w:ascii="Calibri" w:cs="Calibri" w:eastAsia="Calibri" w:hAnsi="Calibri"/>
          <w:b w:val="0"/>
          <w:bCs w:val="0"/>
          <w:i w:val="0"/>
          <w:iCs w:val="0"/>
          <w:sz w:val="22"/>
          <w:szCs w:val="22"/>
          <w:rtl w:val="0"/>
        </w:rPr>
        <w:t xml:space="preserve"> Alexandria's Design, Carlsbad, California, USA</w:t>
      </w:r>
      <w:r w:rsidDel="00000000" w:rsidR="00000000" w:rsidRPr="00000000">
        <w:rPr>
          <w:rtl w:val="0"/>
        </w:rPr>
      </w:r>
    </w:p>
    <w:p w:rsidR="00000000" w:rsidDel="00000000" w:rsidP="00000000" w:rsidRDefault="00000000" w:rsidRPr="00000000" w14:paraId="00000006">
      <w:pPr>
        <w:keepNext w:val="1"/>
        <w:spacing w:after="120" w:before="360" w:line="276" w:lineRule="auto"/>
        <w:jc w:val="center"/>
        <w:rPr/>
      </w:pPr>
      <w:r w:rsidDel="00000000" w:rsidR="00000000" w:rsidRPr="00000000">
        <w:rPr>
          <w:rFonts w:ascii="Calibri" w:cs="Calibri" w:eastAsia="Calibri" w:hAnsi="Calibri"/>
          <w:b w:val="1"/>
          <w:bCs w:val="1"/>
          <w:i w:val="0"/>
          <w:iCs w:val="0"/>
          <w:sz w:val="28"/>
          <w:szCs w:val="28"/>
          <w:rtl w:val="0"/>
        </w:rPr>
        <w:t xml:space="preserve">Abstract</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Fonts w:ascii="Calibri" w:cs="Calibri" w:eastAsia="Calibri" w:hAnsi="Calibri"/>
          <w:b w:val="0"/>
          <w:bCs w:val="0"/>
          <w:i w:val="0"/>
          <w:iCs w:val="0"/>
          <w:sz w:val="22"/>
          <w:szCs w:val="22"/>
          <w:rtl w:val="0"/>
        </w:rPr>
        <w:t xml:space="preserve">Public discourse on legacy artificial intelligence has settled almost entirely on the dead. Griefbots, postmortem avatars, and deadbot services frame the ethics of preserving a person's voice as a question about what we owe the deceased and those who loved them. This article describes a different case. We built a retrieval-augmented generation (RAG) companion alongside a living, consenting, and curating scholar of multicultural education, Dr. Carlos E. Cortés. The corpus is a curated on-disk collection of his bibliography, selected texts, chronology materials, and website captures, assembled and bounded with the scholar's participation. The system refuses to speculate beyond it. We report the architecture (Node.js and Express, local embedding-based retrieval, Google Gemini generation, ElevenLabs voice, optional Sync Labs lip-sync avatar), the three-tier consent process (voice, corpus, representation), and a guardrail set that treats refusal as a design feature rather than a limitation. We argue that when the scholar is alive, the work is neither grief nor preservation; it is teaching. The stakes are sharper for scholars of color, whose writings have been chronically under-taught and under-archived. We offer five moves that institutions can borrow to partner with their living emeritus faculty before the field treats such partnerships as postmortem archaeology. The work is framed through critical race theory and Sinclair's four-phase construct of technology in marginalized communities.</w:t>
      </w:r>
      <w:r w:rsidDel="00000000" w:rsidR="00000000" w:rsidRPr="00000000">
        <w:rPr>
          <w:rtl w:val="0"/>
        </w:rPr>
      </w:r>
    </w:p>
    <w:p w:rsidR="00000000" w:rsidDel="00000000" w:rsidP="00000000" w:rsidRDefault="00000000" w:rsidRPr="00000000" w14:paraId="00000008">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Keywords:</w:t>
      </w:r>
      <w:r w:rsidDel="00000000" w:rsidR="00000000" w:rsidRPr="00000000">
        <w:rPr>
          <w:rFonts w:ascii="Calibri" w:cs="Calibri" w:eastAsia="Calibri" w:hAnsi="Calibri"/>
          <w:b w:val="0"/>
          <w:bCs w:val="0"/>
          <w:i w:val="0"/>
          <w:iCs w:val="0"/>
          <w:sz w:val="22"/>
          <w:szCs w:val="22"/>
          <w:rtl w:val="0"/>
        </w:rPr>
        <w:t xml:space="preserve"> retrieval-augmented generation, multicultural education, legacy AI, consent, higher education technology, critical race theory, ethics of AI</w:t>
      </w:r>
      <w:r w:rsidDel="00000000" w:rsidR="00000000" w:rsidRPr="00000000">
        <w:rPr>
          <w:rtl w:val="0"/>
        </w:rPr>
      </w:r>
    </w:p>
    <w:p w:rsidR="00000000" w:rsidDel="00000000" w:rsidP="00000000" w:rsidRDefault="00000000" w:rsidRPr="00000000" w14:paraId="00000009">
      <w:pPr>
        <w:spacing w:after="0" w:before="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0A">
      <w:pPr>
        <w:keepNext w:val="1"/>
        <w:spacing w:after="120" w:before="280" w:line="276" w:lineRule="auto"/>
        <w:jc w:val="left"/>
        <w:rPr/>
      </w:pPr>
      <w:r w:rsidDel="00000000" w:rsidR="00000000" w:rsidRPr="00000000">
        <w:rPr>
          <w:b w:val="1"/>
          <w:bCs w:val="1"/>
          <w:sz w:val="28"/>
          <w:szCs w:val="28"/>
          <w:rtl w:val="0"/>
        </w:rPr>
        <w:t xml:space="preserve">A Complicated Journey Launched by a Simple Question</w:t>
      </w:r>
      <w:r w:rsidDel="00000000" w:rsidR="00000000" w:rsidRPr="00000000">
        <w:rPr>
          <w:rtl w:val="0"/>
        </w:rPr>
      </w:r>
    </w:p>
    <w:p w:rsidR="00000000" w:rsidDel="00000000" w:rsidP="00000000" w:rsidRDefault="00000000" w:rsidRPr="00000000" w14:paraId="0000000B">
      <w:pPr>
        <w:spacing w:after="120" w:line="276" w:lineRule="auto"/>
        <w:ind w:left="0" w:right="0" w:firstLine="0"/>
        <w:jc w:val="both"/>
        <w:rPr/>
      </w:pPr>
      <w:r w:rsidDel="00000000" w:rsidR="00000000" w:rsidRPr="00000000">
        <w:rPr>
          <w:rtl w:val="0"/>
        </w:rPr>
        <w:t xml:space="preserve">One day two years ago Dr. Carlos Cortes, a historian and diversity specialist, was approached by a medical student with an apparently simple question:: </w:t>
      </w:r>
      <w:r w:rsidDel="00000000" w:rsidR="00000000" w:rsidRPr="00000000">
        <w:rPr>
          <w:rFonts w:ascii="Calibri" w:cs="Calibri" w:eastAsia="Calibri" w:hAnsi="Calibri"/>
          <w:b w:val="0"/>
          <w:bCs w:val="0"/>
          <w:i w:val="0"/>
          <w:iCs w:val="0"/>
          <w:sz w:val="22"/>
          <w:szCs w:val="22"/>
          <w:rtl w:val="0"/>
        </w:rPr>
        <w:t xml:space="preserve">how did you become Cultural Co</w:t>
      </w:r>
      <w:r w:rsidDel="00000000" w:rsidR="00000000" w:rsidRPr="00000000">
        <w:rPr>
          <w:rtl w:val="0"/>
        </w:rPr>
        <w:t xml:space="preserve">nsultant for the Dreamworks’ movie, “Puss in Boots: The Last Wish?”   I saw it in your Wikipedia entry.  Cortes gave a simple answer: that he had been recommended by a Dreamworks’ executive who had previously worked with him at Nickelodeon.  Was that the end of conversation?  Hardly.  In fact, it gave birth to a series of follow up questions.</w:t>
      </w:r>
    </w:p>
    <w:p w:rsidR="00000000" w:rsidDel="00000000" w:rsidP="00000000" w:rsidRDefault="00000000" w:rsidRPr="00000000" w14:paraId="0000000C">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0D">
      <w:pPr>
        <w:spacing w:after="120" w:line="276" w:lineRule="auto"/>
        <w:ind w:left="0" w:right="0" w:firstLine="0"/>
        <w:jc w:val="both"/>
        <w:rPr/>
      </w:pPr>
      <w:r w:rsidDel="00000000" w:rsidR="00000000" w:rsidRPr="00000000">
        <w:rPr>
          <w:rtl w:val="0"/>
        </w:rPr>
        <w:t xml:space="preserve">How did that executive know Cortes at Nickelodeon.  Simple answer: because for two decades Cortes was the  Creative/Cultural Advisor for “Dora the Explorer,” “Go, Diego, Go!,” and other Nickelodeon shows.  Well, then, how did he get that position?  Because some of the Nickelodeon people had read his new book, </w:t>
      </w:r>
      <w:r w:rsidDel="00000000" w:rsidR="00000000" w:rsidRPr="00000000">
        <w:rPr>
          <w:i w:val="1"/>
          <w:iCs w:val="1"/>
          <w:rtl w:val="0"/>
        </w:rPr>
        <w:t xml:space="preserve">The Children Are Watching: How the Media Teach about Diversity</w:t>
      </w:r>
      <w:r w:rsidDel="00000000" w:rsidR="00000000" w:rsidRPr="00000000">
        <w:rPr>
          <w:rtl w:val="0"/>
        </w:rPr>
        <w:t xml:space="preserve">.  But how did they find out about the book?  Because two of Dora’s creators attended a Latino youth conference where he gave a keynote address.</w:t>
      </w:r>
    </w:p>
    <w:p w:rsidR="00000000" w:rsidDel="00000000" w:rsidP="00000000" w:rsidRDefault="00000000" w:rsidRPr="00000000" w14:paraId="0000000E">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0F">
      <w:pPr>
        <w:spacing w:after="120" w:line="276" w:lineRule="auto"/>
        <w:ind w:left="0" w:right="0" w:firstLine="0"/>
        <w:jc w:val="both"/>
        <w:rPr/>
      </w:pPr>
      <w:r w:rsidDel="00000000" w:rsidR="00000000" w:rsidRPr="00000000">
        <w:rPr>
          <w:rtl w:val="0"/>
        </w:rPr>
        <w:t xml:space="preserve">The questions and answers could have gone on all day, tracing the set of circumstances that ultimately led to Cortes’ work with Dreamworks.  However, both Cortes and the student had other things to do.  So they parted ways and proceeded with the rest of their lives.</w:t>
      </w:r>
    </w:p>
    <w:p w:rsidR="00000000" w:rsidDel="00000000" w:rsidP="00000000" w:rsidRDefault="00000000" w:rsidRPr="00000000" w14:paraId="00000010">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11">
      <w:pPr>
        <w:spacing w:after="120" w:line="276" w:lineRule="auto"/>
        <w:ind w:left="0" w:right="0" w:firstLine="0"/>
        <w:jc w:val="both"/>
        <w:rPr>
          <w:i w:val="1"/>
          <w:iCs w:val="1"/>
        </w:rPr>
      </w:pPr>
      <w:r w:rsidDel="00000000" w:rsidR="00000000" w:rsidRPr="00000000">
        <w:rPr>
          <w:rtl w:val="0"/>
        </w:rPr>
        <w:t xml:space="preserve">However, that conversation haunted Cortes as he prepared his professional papers to donate to the University of California, Riverside, to be housed in the Special Collections department. As he gathered and organized records of his half century professional career, starting as a Latin American history professor at UCR in 1968 and stretching for more than a half century of engagement with Chicano history,  multicultural education, and diversity in the media,  he realized that his papers raised all kinds of comparable questions concerning what circumstances had led him into his different journeys, which included editing the four-volume </w:t>
      </w:r>
      <w:r w:rsidDel="00000000" w:rsidR="00000000" w:rsidRPr="00000000">
        <w:rPr>
          <w:i w:val="1"/>
          <w:iCs w:val="1"/>
          <w:rtl w:val="0"/>
        </w:rPr>
        <w:t xml:space="preserve">Multicultural America</w:t>
      </w:r>
      <w:r w:rsidDel="00000000" w:rsidR="00000000" w:rsidRPr="00000000">
        <w:rPr>
          <w:rtl w:val="0"/>
        </w:rPr>
        <w:t xml:space="preserve"> encyclopedia, writing and performing a one-person autobiographical play, and, at age 91, publishing his first novel, </w:t>
      </w:r>
      <w:r w:rsidDel="00000000" w:rsidR="00000000" w:rsidRPr="00000000">
        <w:rPr>
          <w:i w:val="1"/>
          <w:iCs w:val="1"/>
          <w:rtl w:val="0"/>
        </w:rPr>
        <w:t xml:space="preserve">Scouts’ Honor.</w:t>
      </w:r>
    </w:p>
    <w:p w:rsidR="00000000" w:rsidDel="00000000" w:rsidP="00000000" w:rsidRDefault="00000000" w:rsidRPr="00000000" w14:paraId="00000012">
      <w:pPr>
        <w:spacing w:after="120" w:line="276" w:lineRule="auto"/>
        <w:ind w:left="0" w:right="0" w:firstLine="0"/>
        <w:jc w:val="both"/>
        <w:rPr>
          <w:i w:val="1"/>
          <w:iCs w:val="1"/>
        </w:rPr>
      </w:pPr>
      <w:r w:rsidDel="00000000" w:rsidR="00000000" w:rsidRPr="00000000">
        <w:rPr>
          <w:rtl w:val="0"/>
        </w:rPr>
      </w:r>
    </w:p>
    <w:p w:rsidR="00000000" w:rsidDel="00000000" w:rsidP="00000000" w:rsidRDefault="00000000" w:rsidRPr="00000000" w14:paraId="00000013">
      <w:pPr>
        <w:spacing w:after="120" w:line="276" w:lineRule="auto"/>
        <w:ind w:left="0" w:right="0" w:firstLine="0"/>
        <w:jc w:val="both"/>
        <w:rPr/>
      </w:pPr>
      <w:r w:rsidDel="00000000" w:rsidR="00000000" w:rsidRPr="00000000">
        <w:rPr>
          <w:rtl w:val="0"/>
        </w:rPr>
        <w:t xml:space="preserve">To provide context for his collection, Cortes wrote a 180-page professional biography to accompany his papers.  He conceived it around choosing destinations he had reached and working backward by identifying steps that led to those destinations, as he had done with the medical students.  In otther words, he thought backward before writing forward.</w:t>
      </w:r>
    </w:p>
    <w:p w:rsidR="00000000" w:rsidDel="00000000" w:rsidP="00000000" w:rsidRDefault="00000000" w:rsidRPr="00000000" w14:paraId="00000014">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15">
      <w:pPr>
        <w:spacing w:after="120" w:line="276" w:lineRule="auto"/>
        <w:ind w:left="0" w:right="0" w:firstLine="0"/>
        <w:jc w:val="both"/>
        <w:rPr>
          <w:b w:val="1"/>
          <w:bCs w:val="1"/>
          <w:sz w:val="28"/>
          <w:szCs w:val="28"/>
        </w:rPr>
      </w:pPr>
      <w:r w:rsidDel="00000000" w:rsidR="00000000" w:rsidRPr="00000000">
        <w:rPr>
          <w:b w:val="1"/>
          <w:bCs w:val="1"/>
          <w:sz w:val="28"/>
          <w:szCs w:val="28"/>
          <w:rtl w:val="0"/>
        </w:rPr>
        <w:t xml:space="preserve">Enter the Martins</w:t>
      </w:r>
    </w:p>
    <w:p w:rsidR="00000000" w:rsidDel="00000000" w:rsidP="00000000" w:rsidRDefault="00000000" w:rsidRPr="00000000" w14:paraId="00000016">
      <w:pPr>
        <w:spacing w:after="120" w:line="276" w:lineRule="auto"/>
        <w:ind w:left="0" w:right="0" w:firstLine="0"/>
        <w:jc w:val="both"/>
        <w:rPr>
          <w:b w:val="1"/>
          <w:bCs w:val="1"/>
          <w:sz w:val="28"/>
          <w:szCs w:val="28"/>
        </w:rPr>
      </w:pPr>
      <w:r w:rsidDel="00000000" w:rsidR="00000000" w:rsidRPr="00000000">
        <w:rPr>
          <w:rtl w:val="0"/>
        </w:rPr>
      </w:r>
    </w:p>
    <w:p w:rsidR="00000000" w:rsidDel="00000000" w:rsidP="00000000" w:rsidRDefault="00000000" w:rsidRPr="00000000" w14:paraId="00000017">
      <w:pPr>
        <w:spacing w:after="120" w:line="276" w:lineRule="auto"/>
        <w:ind w:left="0" w:right="0" w:firstLine="0"/>
        <w:jc w:val="both"/>
        <w:rPr/>
      </w:pPr>
      <w:r w:rsidDel="00000000" w:rsidR="00000000" w:rsidRPr="00000000">
        <w:rPr>
          <w:rtl w:val="0"/>
        </w:rPr>
        <w:t xml:space="preserve">In the fall of 2024, another such serendipitous event occurred.  Cortes participated in a two-person keynote dialogue for a Riverside (California) County conference focused on implementing California’s new state law making Ethnic Studies a statewide high school graduation requirement.  Also on the program was Dr. Marie Martin, a specialist in instructional design and the creator of the series, “Alexandria’s World.”  Martin and Cortes attended each others’presentations, talked at length following the sessions, and decided to pursue a collaboration.  This took the form of creating a bridge-building framework for Ethnic Studies and presentations at National Association for Multicultural Education and California Association for Bilingual Education conferences.</w:t>
      </w:r>
    </w:p>
    <w:p w:rsidR="00000000" w:rsidDel="00000000" w:rsidP="00000000" w:rsidRDefault="00000000" w:rsidRPr="00000000" w14:paraId="00000018">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19">
      <w:pPr>
        <w:spacing w:after="120" w:line="276" w:lineRule="auto"/>
        <w:ind w:left="0" w:right="0" w:firstLine="0"/>
        <w:jc w:val="both"/>
        <w:rPr/>
      </w:pPr>
      <w:r w:rsidDel="00000000" w:rsidR="00000000" w:rsidRPr="00000000">
        <w:rPr>
          <w:rtl w:val="0"/>
        </w:rPr>
        <w:t xml:space="preserve">This process also led to a three-person zoom meeting involving the two of them and  Dr. Charles Martin, also an instructional designer and specialist in artificial intelligence.  Before long the Martins and Cortes were meeting weekly to discuss pedagogy and artificial intelligence.  The collaboration became more intense when the Martins, using artificial intelligence,  transformed Cortes’ professional autobiography manuscript into an interactive visualization of his career, accompanied by an avatar of Cortes briefly narrating phases of his career in English, Spanish, and Portuguese.  It also led to an idea: how could they adapt this new format into a form of pedagogy that would draw upon the 92-year-old Cortes’ decades of experience?  Moreover, how could they use this as a demonstration model for others to use.</w:t>
      </w:r>
    </w:p>
    <w:p w:rsidR="00000000" w:rsidDel="00000000" w:rsidP="00000000" w:rsidRDefault="00000000" w:rsidRPr="00000000" w14:paraId="0000001A">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1B">
      <w:pPr>
        <w:spacing w:after="120" w:line="276" w:lineRule="auto"/>
        <w:ind w:left="0" w:right="0" w:firstLine="0"/>
        <w:jc w:val="both"/>
        <w:rPr>
          <w:b w:val="1"/>
          <w:bCs w:val="1"/>
          <w:sz w:val="28"/>
          <w:szCs w:val="28"/>
        </w:rPr>
      </w:pPr>
      <w:r w:rsidDel="00000000" w:rsidR="00000000" w:rsidRPr="00000000">
        <w:rPr>
          <w:b w:val="1"/>
          <w:bCs w:val="1"/>
          <w:sz w:val="28"/>
          <w:szCs w:val="28"/>
          <w:rtl w:val="0"/>
        </w:rPr>
        <w:t xml:space="preserve">Liberation from Deathtech</w:t>
      </w:r>
    </w:p>
    <w:p w:rsidR="00000000" w:rsidDel="00000000" w:rsidP="00000000" w:rsidRDefault="00000000" w:rsidRPr="00000000" w14:paraId="0000001C">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1D">
      <w:pPr>
        <w:spacing w:after="120" w:line="276" w:lineRule="auto"/>
        <w:ind w:left="0" w:right="0" w:firstLine="0"/>
        <w:jc w:val="both"/>
        <w:rPr/>
      </w:pPr>
      <w:r w:rsidDel="00000000" w:rsidR="00000000" w:rsidRPr="00000000">
        <w:rPr>
          <w:rtl w:val="0"/>
        </w:rPr>
        <w:t xml:space="preserve">To date, public discussions of AI have not sufficiently addressed the issue of living legacies.  </w:t>
      </w:r>
      <w:r w:rsidDel="00000000" w:rsidR="00000000" w:rsidRPr="00000000">
        <w:rPr>
          <w:rFonts w:ascii="Calibri" w:cs="Calibri" w:eastAsia="Calibri" w:hAnsi="Calibri"/>
          <w:b w:val="0"/>
          <w:bCs w:val="0"/>
          <w:i w:val="0"/>
          <w:iCs w:val="0"/>
          <w:sz w:val="22"/>
          <w:szCs w:val="22"/>
          <w:rtl w:val="0"/>
        </w:rPr>
        <w:t xml:space="preserve">The rapidly</w:t>
      </w:r>
      <w:r w:rsidDel="00000000" w:rsidR="00000000" w:rsidRPr="00000000">
        <w:rPr>
          <w:rtl w:val="0"/>
        </w:rPr>
        <w:t xml:space="preserve">-growing l</w:t>
      </w:r>
      <w:r w:rsidDel="00000000" w:rsidR="00000000" w:rsidRPr="00000000">
        <w:rPr>
          <w:rFonts w:ascii="Calibri" w:cs="Calibri" w:eastAsia="Calibri" w:hAnsi="Calibri"/>
          <w:b w:val="0"/>
          <w:bCs w:val="0"/>
          <w:i w:val="0"/>
          <w:iCs w:val="0"/>
          <w:sz w:val="22"/>
          <w:szCs w:val="22"/>
          <w:rtl w:val="0"/>
        </w:rPr>
        <w:t xml:space="preserve">iterature on the digital afterlife industry (DAI) </w:t>
      </w:r>
      <w:r w:rsidDel="00000000" w:rsidR="00000000" w:rsidRPr="00000000">
        <w:rPr>
          <w:rtl w:val="0"/>
        </w:rPr>
        <w:t xml:space="preserve">has treated</w:t>
      </w:r>
      <w:r w:rsidDel="00000000" w:rsidR="00000000" w:rsidRPr="00000000">
        <w:rPr>
          <w:rFonts w:ascii="Calibri" w:cs="Calibri" w:eastAsia="Calibri" w:hAnsi="Calibri"/>
          <w:b w:val="0"/>
          <w:bCs w:val="0"/>
          <w:i w:val="0"/>
          <w:iCs w:val="0"/>
          <w:sz w:val="22"/>
          <w:szCs w:val="22"/>
          <w:rtl w:val="0"/>
        </w:rPr>
        <w:t xml:space="preserve"> legacy AI as a problem of deathtech.  For example, it has asked how we ought to regulate posthumous re-creations (Hollanek &amp; Nowaczyk-Basińska, 2024). </w:t>
      </w:r>
      <w:r w:rsidDel="00000000" w:rsidR="00000000" w:rsidRPr="00000000">
        <w:rPr>
          <w:rtl w:val="0"/>
        </w:rPr>
      </w:r>
    </w:p>
    <w:p w:rsidR="00000000" w:rsidDel="00000000" w:rsidP="00000000" w:rsidRDefault="00000000" w:rsidRPr="00000000" w14:paraId="0000001E">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1F">
      <w:pPr>
        <w:spacing w:after="120" w:line="276" w:lineRule="auto"/>
        <w:ind w:left="0" w:right="0" w:firstLine="0"/>
        <w:jc w:val="both"/>
        <w:rPr>
          <w:b w:val="1"/>
          <w:bCs w:val="1"/>
        </w:rPr>
      </w:pPr>
      <w:r w:rsidDel="00000000" w:rsidR="00000000" w:rsidRPr="00000000">
        <w:rPr>
          <w:b w:val="1"/>
          <w:bCs w:val="1"/>
          <w:rtl w:val="0"/>
        </w:rPr>
        <w:t xml:space="preserve">(Note: this might be a good place for the two of you to write a paragraph or so expanding on the discussion of deathtech, since many of the readers will have never heard of it.)</w:t>
      </w:r>
    </w:p>
    <w:p w:rsidR="00000000" w:rsidDel="00000000" w:rsidP="00000000" w:rsidRDefault="00000000" w:rsidRPr="00000000" w14:paraId="00000020">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21">
      <w:pPr>
        <w:spacing w:after="120" w:line="276" w:lineRule="auto"/>
        <w:ind w:left="0" w:right="0" w:firstLine="0"/>
        <w:jc w:val="both"/>
        <w:rPr/>
      </w:pPr>
      <w:r w:rsidDel="00000000" w:rsidR="00000000" w:rsidRPr="00000000">
        <w:rPr>
          <w:rtl w:val="0"/>
        </w:rPr>
        <w:t xml:space="preserve">The most-cited deathtech legal cases concern voices taken after the speaker’s death or taken without consent (Lehrman v. Lovo, 2025).  Those questions are serious.  However, they are not ours.</w:t>
      </w:r>
    </w:p>
    <w:p w:rsidR="00000000" w:rsidDel="00000000" w:rsidP="00000000" w:rsidRDefault="00000000" w:rsidRPr="00000000" w14:paraId="00000022">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23">
      <w:pPr>
        <w:spacing w:after="120" w:line="276" w:lineRule="auto"/>
        <w:ind w:left="0" w:right="0" w:firstLine="0"/>
        <w:jc w:val="both"/>
        <w:rPr/>
      </w:pPr>
      <w:r w:rsidDel="00000000" w:rsidR="00000000" w:rsidRPr="00000000">
        <w:rPr>
          <w:rtl w:val="0"/>
        </w:rPr>
        <w:t xml:space="preserve">Rather the three of us are investigating the possibilities – both scholarly and pedagogical – of drawing on a living scholar who has been involved in curating the corpus, who has approved the voice clone, and who is involved in designing the artifact for its  pedagogical potential.  Our developing scenario involves a different framing and raises different ethical issues.  It also involves the exploration of pedagogical possibilities quite distinct from the deathtech frame</w:t>
      </w:r>
    </w:p>
    <w:p w:rsidR="00000000" w:rsidDel="00000000" w:rsidP="00000000" w:rsidRDefault="00000000" w:rsidRPr="00000000" w14:paraId="00000024">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25">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w:t>
      </w:r>
      <w:r w:rsidDel="00000000" w:rsidR="00000000" w:rsidRPr="00000000">
        <w:rPr>
          <w:rtl w:val="0"/>
        </w:rPr>
      </w:r>
    </w:p>
    <w:p w:rsidR="00000000" w:rsidDel="00000000" w:rsidP="00000000" w:rsidRDefault="00000000" w:rsidRPr="00000000" w14:paraId="00000026">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The Problem of Under-Archived Voices</w:t>
      </w:r>
      <w:r w:rsidDel="00000000" w:rsidR="00000000" w:rsidRPr="00000000">
        <w:rPr>
          <w:rtl w:val="0"/>
        </w:rPr>
      </w:r>
    </w:p>
    <w:p w:rsidR="00000000" w:rsidDel="00000000" w:rsidP="00000000" w:rsidRDefault="00000000" w:rsidRPr="00000000" w14:paraId="00000027">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A teacher who wants to teach Cortés's work faces an archival paradox. The bibliography is broad and decades deep, including books on Brazilian history, media and diversity (Cortés, 2000), an autobiographical treatise on becoming a multiculturalist (Cortés, 2002), a four-volume encyclopedia of multicultural America (Cortés, 2013), a memoir on mid-century interfaith and inter</w:t>
      </w:r>
      <w:r w:rsidDel="00000000" w:rsidR="00000000" w:rsidRPr="00000000">
        <w:rPr>
          <w:rtl w:val="0"/>
        </w:rPr>
        <w:t xml:space="preserve">ethnic</w:t>
      </w:r>
      <w:r w:rsidDel="00000000" w:rsidR="00000000" w:rsidRPr="00000000">
        <w:rPr>
          <w:rFonts w:ascii="Calibri" w:cs="Calibri" w:eastAsia="Calibri" w:hAnsi="Calibri"/>
          <w:b w:val="0"/>
          <w:bCs w:val="0"/>
          <w:i w:val="0"/>
          <w:iCs w:val="0"/>
          <w:sz w:val="22"/>
          <w:szCs w:val="22"/>
          <w:rtl w:val="0"/>
        </w:rPr>
        <w:t xml:space="preserve"> family life (Cortés, 2012), a prize-winning book of poetry, and a novel published at 91 (Cortés, 2025a). He has also published hundreds of articles and public lectures, including a </w:t>
      </w:r>
      <w:r w:rsidDel="00000000" w:rsidR="00000000" w:rsidRPr="00000000">
        <w:rPr>
          <w:rtl w:val="0"/>
        </w:rPr>
        <w:t xml:space="preserve">widely-discussed 2024 keynote address on renewing multicultural education at the National Association for Multicultural Education national conference (2025a). </w:t>
      </w:r>
      <w:r w:rsidDel="00000000" w:rsidR="00000000" w:rsidRPr="00000000">
        <w:rPr>
          <w:rFonts w:ascii="Calibri" w:cs="Calibri" w:eastAsia="Calibri" w:hAnsi="Calibri"/>
          <w:b w:val="0"/>
          <w:bCs w:val="0"/>
          <w:i w:val="0"/>
          <w:iCs w:val="0"/>
          <w:sz w:val="22"/>
          <w:szCs w:val="22"/>
          <w:rtl w:val="0"/>
        </w:rPr>
        <w:t xml:space="preserve">Yet much of it lives in out-of-prin</w:t>
      </w:r>
      <w:r w:rsidDel="00000000" w:rsidR="00000000" w:rsidRPr="00000000">
        <w:rPr>
          <w:rtl w:val="0"/>
        </w:rPr>
        <w:t xml:space="preserve">t source</w:t>
      </w:r>
      <w:r w:rsidDel="00000000" w:rsidR="00000000" w:rsidRPr="00000000">
        <w:rPr>
          <w:rFonts w:ascii="Calibri" w:cs="Calibri" w:eastAsia="Calibri" w:hAnsi="Calibri"/>
          <w:b w:val="0"/>
          <w:bCs w:val="0"/>
          <w:i w:val="0"/>
          <w:iCs w:val="0"/>
          <w:sz w:val="22"/>
          <w:szCs w:val="22"/>
          <w:rtl w:val="0"/>
        </w:rPr>
        <w:t xml:space="preserve">s, university press catalogs with thin marketing, policy documents i</w:t>
      </w:r>
      <w:r w:rsidDel="00000000" w:rsidR="00000000" w:rsidRPr="00000000">
        <w:rPr>
          <w:rtl w:val="0"/>
        </w:rPr>
        <w:t xml:space="preserve">n public</w:t>
      </w:r>
      <w:r w:rsidDel="00000000" w:rsidR="00000000" w:rsidRPr="00000000">
        <w:rPr>
          <w:rFonts w:ascii="Calibri" w:cs="Calibri" w:eastAsia="Calibri" w:hAnsi="Calibri"/>
          <w:b w:val="0"/>
          <w:bCs w:val="0"/>
          <w:i w:val="0"/>
          <w:iCs w:val="0"/>
          <w:sz w:val="22"/>
          <w:szCs w:val="22"/>
          <w:rtl w:val="0"/>
        </w:rPr>
        <w:t xml:space="preserve"> archives, and blog columns on var</w:t>
      </w:r>
      <w:r w:rsidDel="00000000" w:rsidR="00000000" w:rsidRPr="00000000">
        <w:rPr>
          <w:rtl w:val="0"/>
        </w:rPr>
        <w:t xml:space="preserve">ious websites.  </w:t>
      </w:r>
    </w:p>
    <w:p w:rsidR="00000000" w:rsidDel="00000000" w:rsidP="00000000" w:rsidRDefault="00000000" w:rsidRPr="00000000" w14:paraId="00000028">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29">
      <w:pPr>
        <w:spacing w:after="120" w:line="276" w:lineRule="auto"/>
        <w:ind w:left="0" w:right="0" w:firstLine="0"/>
        <w:jc w:val="both"/>
        <w:rPr/>
      </w:pPr>
      <w:r w:rsidDel="00000000" w:rsidR="00000000" w:rsidRPr="00000000">
        <w:rPr>
          <w:rtl w:val="0"/>
        </w:rPr>
        <w:t xml:space="preserve">As a result, like most scholars, his voice is documented, but not conveniently teachable.   Moreover, missing from the sprawling output from nearly six decades of scholarship is a sense of development.  How has this body of scholarship developed?  How have his ideas changed over time?  What are the major revealing contours of his professional career?</w:t>
      </w:r>
    </w:p>
    <w:p w:rsidR="00000000" w:rsidDel="00000000" w:rsidP="00000000" w:rsidRDefault="00000000" w:rsidRPr="00000000" w14:paraId="0000002A">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2B">
      <w:pPr>
        <w:spacing w:after="120" w:line="276" w:lineRule="auto"/>
        <w:ind w:left="0" w:right="0" w:firstLine="0"/>
        <w:jc w:val="both"/>
        <w:rPr>
          <w:rFonts w:ascii="Calibri" w:cs="Calibri" w:eastAsia="Calibri" w:hAnsi="Calibri"/>
          <w:b w:val="0"/>
          <w:bCs w:val="0"/>
          <w:i w:val="0"/>
          <w:iCs w:val="0"/>
          <w:sz w:val="22"/>
          <w:szCs w:val="22"/>
        </w:rPr>
      </w:pPr>
      <w:r w:rsidDel="00000000" w:rsidR="00000000" w:rsidRPr="00000000">
        <w:rPr>
          <w:rFonts w:ascii="Calibri" w:cs="Calibri" w:eastAsia="Calibri" w:hAnsi="Calibri"/>
          <w:b w:val="0"/>
          <w:bCs w:val="0"/>
          <w:i w:val="0"/>
          <w:iCs w:val="0"/>
          <w:sz w:val="22"/>
          <w:szCs w:val="22"/>
          <w:rtl w:val="0"/>
        </w:rPr>
        <w:t xml:space="preserve">This is not a one-scholar problem. </w:t>
      </w:r>
      <w:r w:rsidDel="00000000" w:rsidR="00000000" w:rsidRPr="00000000">
        <w:rPr>
          <w:rtl w:val="0"/>
        </w:rPr>
        <w:t xml:space="preserve">Diversity-related</w:t>
      </w:r>
      <w:r w:rsidDel="00000000" w:rsidR="00000000" w:rsidRPr="00000000">
        <w:rPr>
          <w:rFonts w:ascii="Calibri" w:cs="Calibri" w:eastAsia="Calibri" w:hAnsi="Calibri"/>
          <w:b w:val="0"/>
          <w:bCs w:val="0"/>
          <w:i w:val="0"/>
          <w:iCs w:val="0"/>
          <w:sz w:val="22"/>
          <w:szCs w:val="22"/>
          <w:rtl w:val="0"/>
        </w:rPr>
        <w:t xml:space="preserve"> scholarship remains institutionally contested and unevenly embedded in educational settings.  This influence</w:t>
      </w:r>
      <w:r w:rsidDel="00000000" w:rsidR="00000000" w:rsidRPr="00000000">
        <w:rPr>
          <w:rtl w:val="0"/>
        </w:rPr>
        <w:t xml:space="preserve">s </w:t>
      </w:r>
      <w:r w:rsidDel="00000000" w:rsidR="00000000" w:rsidRPr="00000000">
        <w:rPr>
          <w:rFonts w:ascii="Calibri" w:cs="Calibri" w:eastAsia="Calibri" w:hAnsi="Calibri"/>
          <w:b w:val="0"/>
          <w:bCs w:val="0"/>
          <w:i w:val="0"/>
          <w:iCs w:val="0"/>
          <w:sz w:val="22"/>
          <w:szCs w:val="22"/>
          <w:rtl w:val="0"/>
        </w:rPr>
        <w:t xml:space="preserve">which scholars become readily teachable and which remain hard to reach (Morgan, 2024). When Black and Latin</w:t>
      </w:r>
      <w:r w:rsidDel="00000000" w:rsidR="00000000" w:rsidRPr="00000000">
        <w:rPr>
          <w:rtl w:val="0"/>
        </w:rPr>
        <w:t xml:space="preserve">o </w:t>
      </w:r>
      <w:r w:rsidDel="00000000" w:rsidR="00000000" w:rsidRPr="00000000">
        <w:rPr>
          <w:rFonts w:ascii="Calibri" w:cs="Calibri" w:eastAsia="Calibri" w:hAnsi="Calibri"/>
          <w:b w:val="0"/>
          <w:bCs w:val="0"/>
          <w:i w:val="0"/>
          <w:iCs w:val="0"/>
          <w:sz w:val="22"/>
          <w:szCs w:val="22"/>
          <w:rtl w:val="0"/>
        </w:rPr>
        <w:t xml:space="preserve">scholars of education do enter the syllabus, they are often reduced to the single quotable line, the decontextualized anecdote, and the truncated bio.</w:t>
      </w:r>
      <w:r w:rsidDel="00000000" w:rsidR="00000000" w:rsidRPr="00000000">
        <w:rPr>
          <w:rtl w:val="0"/>
        </w:rPr>
        <w:t xml:space="preserve">  </w:t>
      </w:r>
      <w:r w:rsidDel="00000000" w:rsidR="00000000" w:rsidRPr="00000000">
        <w:rPr>
          <w:rFonts w:ascii="Calibri" w:cs="Calibri" w:eastAsia="Calibri" w:hAnsi="Calibri"/>
          <w:b w:val="0"/>
          <w:bCs w:val="0"/>
          <w:i w:val="0"/>
          <w:iCs w:val="0"/>
          <w:sz w:val="22"/>
          <w:szCs w:val="22"/>
          <w:rtl w:val="0"/>
        </w:rPr>
        <w:t xml:space="preserve">Dr. Marie Martin's dissertation research on Sinclair's four-phase framework, from imagination to produced capacity to employment to the user's lived experience (Sinclair, 1998), identifies this reduction as a technological choice, not an accident. Whose scholarship gets imagined into the tools, produced at scale, employed in classrooms, and experienced by learners is a political question as much as a curatorial one (de la Peña, 2010).</w:t>
      </w:r>
    </w:p>
    <w:p w:rsidR="00000000" w:rsidDel="00000000" w:rsidP="00000000" w:rsidRDefault="00000000" w:rsidRPr="00000000" w14:paraId="0000002C">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2D">
      <w:pPr>
        <w:spacing w:after="120" w:line="276" w:lineRule="auto"/>
        <w:ind w:left="0" w:right="0" w:firstLine="0"/>
        <w:jc w:val="both"/>
        <w:rPr>
          <w:rFonts w:ascii="Calibri" w:cs="Calibri" w:eastAsia="Calibri" w:hAnsi="Calibri"/>
          <w:b w:val="0"/>
          <w:bCs w:val="0"/>
          <w:i w:val="0"/>
          <w:iCs w:val="0"/>
          <w:sz w:val="22"/>
          <w:szCs w:val="22"/>
        </w:rPr>
      </w:pPr>
      <w:r w:rsidDel="00000000" w:rsidR="00000000" w:rsidRPr="00000000">
        <w:rPr>
          <w:rFonts w:ascii="Calibri" w:cs="Calibri" w:eastAsia="Calibri" w:hAnsi="Calibri"/>
          <w:b w:val="0"/>
          <w:bCs w:val="0"/>
          <w:i w:val="0"/>
          <w:iCs w:val="0"/>
          <w:sz w:val="22"/>
          <w:szCs w:val="22"/>
          <w:rtl w:val="0"/>
        </w:rPr>
        <w:t xml:space="preserve">Generative AI intensifies both the risk and the opportunity. A model trained on the open web absorbs, compresses, and reflects back a statistical average of what has been said about a scholar, weighted by visibility rather than accuracy. For scholars of color with sparse digital footprints, that statistical average is thin and sometimes wrong. Retrieval-augmented generation flips the default. Instead of relying on the model's training-time priors, the system pulls from a bounded corpus selected for this scholar by this scholar (Li et al., 2025). The pedagogical payoff is that teaching with a RAG companion does not require a student to take a stranger's word for a scholar's work; the companion cites the scholar's work because it reads only that work.</w:t>
      </w:r>
    </w:p>
    <w:p w:rsidR="00000000" w:rsidDel="00000000" w:rsidP="00000000" w:rsidRDefault="00000000" w:rsidRPr="00000000" w14:paraId="0000002E">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2F">
      <w:pPr>
        <w:spacing w:after="120" w:line="276" w:lineRule="auto"/>
        <w:ind w:left="0" w:right="0" w:firstLine="0"/>
        <w:jc w:val="both"/>
        <w:rPr>
          <w:b w:val="1"/>
          <w:bCs w:val="1"/>
        </w:rPr>
      </w:pPr>
      <w:r w:rsidDel="00000000" w:rsidR="00000000" w:rsidRPr="00000000">
        <w:rPr>
          <w:b w:val="1"/>
          <w:bCs w:val="1"/>
          <w:rtl w:val="0"/>
        </w:rPr>
        <w:t xml:space="preserve">(In the previous paragraph, we need a brief definition of “RAG companion.”)</w:t>
      </w:r>
    </w:p>
    <w:p w:rsidR="00000000" w:rsidDel="00000000" w:rsidP="00000000" w:rsidRDefault="00000000" w:rsidRPr="00000000" w14:paraId="00000030">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31">
      <w:pPr>
        <w:spacing w:after="120" w:line="276" w:lineRule="auto"/>
        <w:ind w:left="0" w:right="0" w:firstLine="0"/>
        <w:jc w:val="both"/>
        <w:rPr>
          <w:rFonts w:ascii="Calibri" w:cs="Calibri" w:eastAsia="Calibri" w:hAnsi="Calibri"/>
          <w:b w:val="0"/>
          <w:bCs w:val="0"/>
          <w:i w:val="0"/>
          <w:iCs w:val="0"/>
          <w:sz w:val="22"/>
          <w:szCs w:val="22"/>
        </w:rPr>
      </w:pPr>
      <w:r w:rsidDel="00000000" w:rsidR="00000000" w:rsidRPr="00000000">
        <w:rPr>
          <w:rtl w:val="0"/>
        </w:rPr>
        <w:t xml:space="preserve">This is not an issue of neutrality, which does not exist.  </w:t>
      </w:r>
      <w:r w:rsidDel="00000000" w:rsidR="00000000" w:rsidRPr="00000000">
        <w:rPr>
          <w:rFonts w:ascii="Calibri" w:cs="Calibri" w:eastAsia="Calibri" w:hAnsi="Calibri"/>
          <w:b w:val="0"/>
          <w:bCs w:val="0"/>
          <w:i w:val="0"/>
          <w:iCs w:val="0"/>
          <w:sz w:val="22"/>
          <w:szCs w:val="22"/>
          <w:rtl w:val="0"/>
        </w:rPr>
        <w:t xml:space="preserve">A system that speaks for a scholar of color will either honor that scholar's authority over their own archive or erode it. The design choice is ours to make, and we argue it should be made while the scholar can make it with us.</w:t>
      </w:r>
    </w:p>
    <w:p w:rsidR="00000000" w:rsidDel="00000000" w:rsidP="00000000" w:rsidRDefault="00000000" w:rsidRPr="00000000" w14:paraId="00000032">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33">
      <w:pPr>
        <w:keepNext w:val="1"/>
        <w:spacing w:after="120" w:before="280" w:line="276" w:lineRule="auto"/>
        <w:jc w:val="left"/>
        <w:rPr>
          <w:b w:val="1"/>
          <w:bCs w:val="1"/>
          <w:sz w:val="28"/>
          <w:szCs w:val="28"/>
        </w:rPr>
      </w:pPr>
      <w:r w:rsidDel="00000000" w:rsidR="00000000" w:rsidRPr="00000000">
        <w:rPr>
          <w:b w:val="1"/>
          <w:bCs w:val="1"/>
          <w:sz w:val="28"/>
          <w:szCs w:val="28"/>
          <w:rtl w:val="0"/>
        </w:rPr>
        <w:t xml:space="preserve">The Creation of an Interactive Career-Informed Chatbot</w:t>
      </w:r>
    </w:p>
    <w:p w:rsidR="00000000" w:rsidDel="00000000" w:rsidP="00000000" w:rsidRDefault="00000000" w:rsidRPr="00000000" w14:paraId="00000034">
      <w:pPr>
        <w:keepNext w:val="1"/>
        <w:spacing w:after="120" w:before="280" w:line="276" w:lineRule="auto"/>
        <w:jc w:val="left"/>
        <w:rPr>
          <w:b w:val="1"/>
          <w:bCs w:val="1"/>
          <w:sz w:val="28"/>
          <w:szCs w:val="28"/>
        </w:rPr>
      </w:pPr>
      <w:r w:rsidDel="00000000" w:rsidR="00000000" w:rsidRPr="00000000">
        <w:rPr>
          <w:b w:val="1"/>
          <w:bCs w:val="1"/>
          <w:sz w:val="28"/>
          <w:szCs w:val="28"/>
          <w:rtl w:val="0"/>
        </w:rPr>
        <w:t xml:space="preserve">(This section needs some rewriting to make it more user-friendly for interested readers who are not well versed in the jargon of the field.)</w:t>
      </w:r>
    </w:p>
    <w:p w:rsidR="00000000" w:rsidDel="00000000" w:rsidP="00000000" w:rsidRDefault="00000000" w:rsidRPr="00000000" w14:paraId="00000035">
      <w:pPr>
        <w:keepNext w:val="1"/>
        <w:spacing w:after="120" w:before="280" w:line="276" w:lineRule="auto"/>
        <w:jc w:val="left"/>
        <w:rPr>
          <w:b w:val="1"/>
          <w:bCs w:val="1"/>
          <w:sz w:val="28"/>
          <w:szCs w:val="28"/>
        </w:rPr>
      </w:pPr>
      <w:r w:rsidDel="00000000" w:rsidR="00000000" w:rsidRPr="00000000">
        <w:rPr>
          <w:rtl w:val="0"/>
        </w:rPr>
      </w:r>
    </w:p>
    <w:p w:rsidR="00000000" w:rsidDel="00000000" w:rsidP="00000000" w:rsidRDefault="00000000" w:rsidRPr="00000000" w14:paraId="00000036">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Dr. Cortés Interactive chatbot and timeline is a small, documented web application at dr-cortes-interactive.onrender.com. The architecture is modest on purpose. The front end is a Node.js and Express server rendering a GSAP-scrolled timeline of the scholar's life and work. </w:t>
      </w:r>
      <w:r w:rsidDel="00000000" w:rsidR="00000000" w:rsidRPr="00000000">
        <w:rPr>
          <w:rtl w:val="0"/>
        </w:rPr>
        <w:t xml:space="preserve">His chronology is organized by decades.  Each decade’s display contains ten milestones as touchpoints.  </w:t>
      </w:r>
      <w:r w:rsidDel="00000000" w:rsidR="00000000" w:rsidRPr="00000000">
        <w:rPr>
          <w:rFonts w:ascii="Calibri" w:cs="Calibri" w:eastAsia="Calibri" w:hAnsi="Calibri"/>
          <w:b w:val="0"/>
          <w:bCs w:val="0"/>
          <w:i w:val="0"/>
          <w:iCs w:val="0"/>
          <w:sz w:val="22"/>
          <w:szCs w:val="22"/>
          <w:rtl w:val="0"/>
        </w:rPr>
        <w:t xml:space="preserve">A user can read the chronology, click a year, or open a chat panel and ask a question in natural language.</w:t>
      </w:r>
      <w:r w:rsidDel="00000000" w:rsidR="00000000" w:rsidRPr="00000000">
        <w:rPr>
          <w:rtl w:val="0"/>
        </w:rPr>
      </w:r>
    </w:p>
    <w:p w:rsidR="00000000" w:rsidDel="00000000" w:rsidP="00000000" w:rsidRDefault="00000000" w:rsidRPr="00000000" w14:paraId="00000037">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corpus behind the chat is a curated on-disk collection rather than a loose scrape: an annotated bibliography the scholar reviewed, a works database, selected PDFs and text extracts, chronology materials, and website captures tied to his published record. We chunk the materials, embed the chunks, and store the embeddings in a local index. At query time the system retrieves the top chunks above a similarity threshold and passes them to Google Gemini with a strict system prompt. The system prompt does three jobs: it asks the model to answer only from retrieved context, it forbids discussion of living people by name, and it refuses hypothetical or opinion questions that the corpus cannot answer.</w:t>
      </w:r>
      <w:r w:rsidDel="00000000" w:rsidR="00000000" w:rsidRPr="00000000">
        <w:rPr>
          <w:rtl w:val="0"/>
        </w:rPr>
      </w:r>
    </w:p>
    <w:p w:rsidR="00000000" w:rsidDel="00000000" w:rsidP="00000000" w:rsidRDefault="00000000" w:rsidRPr="00000000" w14:paraId="00000038">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Voice is a separate service. We used ElevenLabs to produce a clone of the scholar's speaking voice using samples he recorded for the project. Consent for the voice was established directly with the scholar and documented in project records before any cloning took place. An optional Sync Labs lip-sync avatar renders a synchronized face for the voice. The avatar is off by default and can be toggled by the user; it exists because some learners want the visual cue and others find it distracting. The voice and avatar sit downstream of the text generation so that the guardrails run first. If the model refuses, the refusal is what gets rendered, in the scholar's voice, with warmth.</w:t>
      </w:r>
      <w:r w:rsidDel="00000000" w:rsidR="00000000" w:rsidRPr="00000000">
        <w:rPr>
          <w:rtl w:val="0"/>
        </w:rPr>
      </w:r>
    </w:p>
    <w:p w:rsidR="00000000" w:rsidDel="00000000" w:rsidP="00000000" w:rsidRDefault="00000000" w:rsidRPr="00000000" w14:paraId="00000039">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Table 1 summarizes the stack. Figure 1 visualizes the published architecture and consent checkpoints.</w:t>
      </w:r>
      <w:r w:rsidDel="00000000" w:rsidR="00000000" w:rsidRPr="00000000">
        <w:rPr>
          <w:rtl w:val="0"/>
        </w:rPr>
      </w:r>
    </w:p>
    <w:p w:rsidR="00000000" w:rsidDel="00000000" w:rsidP="00000000" w:rsidRDefault="00000000" w:rsidRPr="00000000" w14:paraId="0000003A">
      <w:pPr>
        <w:keepNext w:val="1"/>
        <w:spacing w:after="40" w:before="120" w:lineRule="auto"/>
        <w:jc w:val="center"/>
        <w:rPr/>
      </w:pPr>
      <w:r w:rsidDel="00000000" w:rsidR="00000000" w:rsidRPr="00000000">
        <w:rPr/>
        <w:drawing>
          <wp:inline distB="0" distT="0" distL="114300" distR="114300">
            <wp:extent cx="5486400" cy="36576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200" w:before="0" w:line="276" w:lineRule="auto"/>
        <w:jc w:val="center"/>
        <w:rPr/>
      </w:pPr>
      <w:r w:rsidDel="00000000" w:rsidR="00000000" w:rsidRPr="00000000">
        <w:rPr>
          <w:rFonts w:ascii="Calibri" w:cs="Calibri" w:eastAsia="Calibri" w:hAnsi="Calibri"/>
          <w:b w:val="1"/>
          <w:bCs w:val="1"/>
          <w:i w:val="0"/>
          <w:iCs w:val="0"/>
          <w:sz w:val="20"/>
          <w:szCs w:val="20"/>
          <w:rtl w:val="0"/>
        </w:rPr>
        <w:t xml:space="preserve">Figure 1. Architecture of the Dr. Cortés Interactive chatbot and timeline.</w:t>
      </w:r>
      <w:r w:rsidDel="00000000" w:rsidR="00000000" w:rsidRPr="00000000">
        <w:rPr>
          <w:rFonts w:ascii="Calibri" w:cs="Calibri" w:eastAsia="Calibri" w:hAnsi="Calibri"/>
          <w:b w:val="0"/>
          <w:bCs w:val="0"/>
          <w:i w:val="0"/>
          <w:iCs w:val="0"/>
          <w:sz w:val="20"/>
          <w:szCs w:val="20"/>
          <w:rtl w:val="0"/>
        </w:rPr>
        <w:t xml:space="preserve"> The horizontal flow shows the user query moving through input guardrails, local retrieval, grounded Google Gemini generation, output validation, ElevenLabs voice synthesis, and the optional Sync Labs lip-sync layer. Refusal paths short-circuit retrieval and return a warm redirect. The callouts identify the three consent tiers governing corpus, voice, and representation.</w:t>
      </w:r>
      <w:r w:rsidDel="00000000" w:rsidR="00000000" w:rsidRPr="00000000">
        <w:rPr>
          <w:rtl w:val="0"/>
        </w:rPr>
      </w:r>
    </w:p>
    <w:p w:rsidR="00000000" w:rsidDel="00000000" w:rsidP="00000000" w:rsidRDefault="00000000" w:rsidRPr="00000000" w14:paraId="0000003C">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evaluation approach is pragmatic. We test the system weekly against a fixed set of benchmark questions the scholar and the team wrote together. Questions fall into four buckets: (a) clearly in-corpus questions with an expected citation, (b) adjacent questions the corpus can answer but not obviously, (c) out-of-corpus questions where refusal is the correct answer, and (d) adversarial prompts attempting to extract opinions on current events or living people by name. We track accuracy, refusal rate, hallucination incidents, and time-to-first-token. The system logs chunk IDs retrieved for each answer, which gives us a provenance trail the scholar can audit. Weekly regression tests catch model drift when a vendor silently updates an underlying generation model; this happens more often than most institutions admit, and a classroom tool that silently changed its answers in the middle of a semester would be a failure mode we cannot accept.</w:t>
      </w:r>
      <w:r w:rsidDel="00000000" w:rsidR="00000000" w:rsidRPr="00000000">
        <w:rPr>
          <w:rtl w:val="0"/>
        </w:rPr>
      </w:r>
    </w:p>
    <w:p w:rsidR="00000000" w:rsidDel="00000000" w:rsidP="00000000" w:rsidRDefault="00000000" w:rsidRPr="00000000" w14:paraId="0000003D">
      <w:pPr>
        <w:spacing w:after="120" w:line="276" w:lineRule="auto"/>
        <w:ind w:left="0" w:right="0" w:firstLine="0"/>
        <w:jc w:val="both"/>
        <w:rPr>
          <w:b w:val="1"/>
          <w:bCs w:val="1"/>
        </w:rPr>
      </w:pPr>
      <w:r w:rsidDel="00000000" w:rsidR="00000000" w:rsidRPr="00000000">
        <w:rPr>
          <w:rFonts w:ascii="Calibri" w:cs="Calibri" w:eastAsia="Calibri" w:hAnsi="Calibri"/>
          <w:b w:val="0"/>
          <w:bCs w:val="0"/>
          <w:i w:val="0"/>
          <w:iCs w:val="0"/>
          <w:sz w:val="22"/>
          <w:szCs w:val="22"/>
          <w:rtl w:val="0"/>
        </w:rPr>
        <w:t xml:space="preserve">Two technical choices deserve explicit mention because they shape what the companion can and cannot do. First, we cap generated responses at roughly forty words per turn. The cap comes from voice synthesis constraints, but it has a useful pedagogical side effect: it prevents the system from sliding into lecture mode and keeps responses in the register of conversational citation. Second, we inject a persona chronology, written by the scholar, as scaffolding for voice only, not as a factual substrate for answers. The companion sounds like the scholar because of the chronology, but it answers only from retrieved corpus chunks. Separating persona from knowledge turned out to be the most important design decision we made in the first six months of the project.  </w:t>
      </w:r>
      <w:r w:rsidDel="00000000" w:rsidR="00000000" w:rsidRPr="00000000">
        <w:rPr>
          <w:b w:val="1"/>
          <w:bCs w:val="1"/>
          <w:i w:val="0"/>
          <w:iCs w:val="0"/>
          <w:sz w:val="22"/>
          <w:szCs w:val="22"/>
          <w:rtl w:val="0"/>
        </w:rPr>
        <w:t xml:space="preserve">(T</w:t>
      </w:r>
      <w:r w:rsidDel="00000000" w:rsidR="00000000" w:rsidRPr="00000000">
        <w:rPr>
          <w:b w:val="1"/>
          <w:bCs w:val="1"/>
          <w:rtl w:val="0"/>
        </w:rPr>
        <w:t xml:space="preserve">his last sentence deserves expansion and greater clarity for the average reader.)</w:t>
      </w:r>
    </w:p>
    <w:p w:rsidR="00000000" w:rsidDel="00000000" w:rsidP="00000000" w:rsidRDefault="00000000" w:rsidRPr="00000000" w14:paraId="0000003E">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This is a pedagogical artifact, not a memorial. Its purpose is to mak</w:t>
      </w:r>
      <w:r w:rsidDel="00000000" w:rsidR="00000000" w:rsidRPr="00000000">
        <w:rPr>
          <w:rtl w:val="0"/>
        </w:rPr>
        <w:t xml:space="preserve">e a career</w:t>
      </w:r>
      <w:r w:rsidDel="00000000" w:rsidR="00000000" w:rsidRPr="00000000">
        <w:rPr>
          <w:rFonts w:ascii="Calibri" w:cs="Calibri" w:eastAsia="Calibri" w:hAnsi="Calibri"/>
          <w:b w:val="0"/>
          <w:bCs w:val="0"/>
          <w:i w:val="0"/>
          <w:iCs w:val="0"/>
          <w:sz w:val="22"/>
          <w:szCs w:val="22"/>
          <w:rtl w:val="0"/>
        </w:rPr>
        <w:t xml:space="preserve"> corpus more readily teachable. The scholar treats it as an annex to his working life, not a stand-in for it.</w:t>
      </w:r>
      <w:r w:rsidDel="00000000" w:rsidR="00000000" w:rsidRPr="00000000">
        <w:rPr>
          <w:rtl w:val="0"/>
        </w:rPr>
      </w:r>
    </w:p>
    <w:p w:rsidR="00000000" w:rsidDel="00000000" w:rsidP="00000000" w:rsidRDefault="00000000" w:rsidRPr="00000000" w14:paraId="0000003F">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Three Ethical Design Choices</w:t>
      </w:r>
      <w:r w:rsidDel="00000000" w:rsidR="00000000" w:rsidRPr="00000000">
        <w:rPr>
          <w:rtl w:val="0"/>
        </w:rPr>
      </w:r>
    </w:p>
    <w:p w:rsidR="00000000" w:rsidDel="00000000" w:rsidP="00000000" w:rsidRDefault="00000000" w:rsidRPr="00000000" w14:paraId="00000040">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Three design choices distinguish the living-scholar case from the digital afterlife case. None of these design </w:t>
      </w:r>
      <w:r w:rsidDel="00000000" w:rsidR="00000000" w:rsidRPr="00000000">
        <w:rPr>
          <w:rtl w:val="0"/>
        </w:rPr>
        <w:t xml:space="preserve">practices </w:t>
      </w:r>
      <w:r w:rsidDel="00000000" w:rsidR="00000000" w:rsidRPr="00000000">
        <w:rPr>
          <w:rFonts w:ascii="Calibri" w:cs="Calibri" w:eastAsia="Calibri" w:hAnsi="Calibri"/>
          <w:b w:val="0"/>
          <w:bCs w:val="0"/>
          <w:i w:val="0"/>
          <w:iCs w:val="0"/>
          <w:sz w:val="22"/>
          <w:szCs w:val="22"/>
          <w:rtl w:val="0"/>
        </w:rPr>
        <w:t xml:space="preserve">are original when viewed in isolation.  However, the uniqueness of this approach comes from the confluence of the three </w:t>
      </w:r>
      <w:r w:rsidDel="00000000" w:rsidR="00000000" w:rsidRPr="00000000">
        <w:rPr>
          <w:rtl w:val="0"/>
        </w:rPr>
        <w:t xml:space="preserve">selected practices.  </w:t>
      </w:r>
    </w:p>
    <w:p w:rsidR="00000000" w:rsidDel="00000000" w:rsidP="00000000" w:rsidRDefault="00000000" w:rsidRPr="00000000" w14:paraId="00000041">
      <w:pPr>
        <w:keepNext w:val="1"/>
        <w:spacing w:after="80" w:before="200" w:line="276" w:lineRule="auto"/>
        <w:jc w:val="left"/>
        <w:rPr/>
      </w:pPr>
      <w:r w:rsidDel="00000000" w:rsidR="00000000" w:rsidRPr="00000000">
        <w:rPr>
          <w:rFonts w:ascii="Calibri" w:cs="Calibri" w:eastAsia="Calibri" w:hAnsi="Calibri"/>
          <w:b w:val="1"/>
          <w:bCs w:val="1"/>
          <w:i w:val="0"/>
          <w:iCs w:val="0"/>
          <w:sz w:val="24"/>
          <w:szCs w:val="24"/>
          <w:rtl w:val="0"/>
        </w:rPr>
        <w:t xml:space="preserve">Consent as Living Practice</w:t>
      </w:r>
      <w:r w:rsidDel="00000000" w:rsidR="00000000" w:rsidRPr="00000000">
        <w:rPr>
          <w:rtl w:val="0"/>
        </w:rPr>
      </w:r>
    </w:p>
    <w:p w:rsidR="00000000" w:rsidDel="00000000" w:rsidP="00000000" w:rsidRDefault="00000000" w:rsidRPr="00000000" w14:paraId="00000042">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Most AI consent discussions reduce consent to a single release event </w:t>
      </w:r>
      <w:r w:rsidDel="00000000" w:rsidR="00000000" w:rsidRPr="00000000">
        <w:rPr>
          <w:rtl w:val="0"/>
        </w:rPr>
        <w:t xml:space="preserve">at a specific</w:t>
      </w:r>
      <w:r w:rsidDel="00000000" w:rsidR="00000000" w:rsidRPr="00000000">
        <w:rPr>
          <w:rFonts w:ascii="Calibri" w:cs="Calibri" w:eastAsia="Calibri" w:hAnsi="Calibri"/>
          <w:b w:val="0"/>
          <w:bCs w:val="0"/>
          <w:i w:val="0"/>
          <w:iCs w:val="0"/>
          <w:sz w:val="22"/>
          <w:szCs w:val="22"/>
          <w:rtl w:val="0"/>
        </w:rPr>
        <w:t xml:space="preserve"> moment in time. That framing is a poor fit for scholars who are still writing, whose ideas continue to evolve, and who are still interested </w:t>
      </w:r>
      <w:r w:rsidDel="00000000" w:rsidR="00000000" w:rsidRPr="00000000">
        <w:rPr>
          <w:rtl w:val="0"/>
        </w:rPr>
        <w:t xml:space="preserve">i</w:t>
      </w:r>
      <w:r w:rsidDel="00000000" w:rsidR="00000000" w:rsidRPr="00000000">
        <w:rPr>
          <w:rFonts w:ascii="Calibri" w:cs="Calibri" w:eastAsia="Calibri" w:hAnsi="Calibri"/>
          <w:b w:val="0"/>
          <w:bCs w:val="0"/>
          <w:i w:val="0"/>
          <w:iCs w:val="0"/>
          <w:sz w:val="22"/>
          <w:szCs w:val="22"/>
          <w:rtl w:val="0"/>
        </w:rPr>
        <w:t xml:space="preserve">n how their own voice gets used. We treat consent as a living practice with three tiers. The voice tier covers the ElevenLabs clone and governs how audio samples are used, where the cloned voice can be hosted, and how to revoke it. The corpus tier covers what writings enter the RAG index and at what granularity; the scholar owns the add-or-remove decision on every document. The representation tier covers how the companion presents the scholar, which includes persona instructions, avatar choices, and audience framing. Each tier is reviewable on a documented cadence, not frozen at launch.</w:t>
      </w:r>
      <w:r w:rsidDel="00000000" w:rsidR="00000000" w:rsidRPr="00000000">
        <w:rPr>
          <w:rtl w:val="0"/>
        </w:rPr>
      </w:r>
    </w:p>
    <w:p w:rsidR="00000000" w:rsidDel="00000000" w:rsidP="00000000" w:rsidRDefault="00000000" w:rsidRPr="00000000" w14:paraId="00000043">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This matters practically. When the scholar reviewed an early draft of the system prompt, he flagged a turn of phrase that implied a stance he no longer held. We revised. Another time, he added two recent essays to the corpus and asked us to remove a chapter that had been superseded by later work. We did. The pattern that emerges is ordinary pedagogical authorship by other means. Treating consent as a living process respects authorship in ways recent work on voice actors and AI data economies has made more visible (Sharma et al., 2025).</w:t>
      </w:r>
      <w:r w:rsidDel="00000000" w:rsidR="00000000" w:rsidRPr="00000000">
        <w:rPr>
          <w:rtl w:val="0"/>
        </w:rPr>
      </w:r>
    </w:p>
    <w:p w:rsidR="00000000" w:rsidDel="00000000" w:rsidP="00000000" w:rsidRDefault="00000000" w:rsidRPr="00000000" w14:paraId="00000044">
      <w:pPr>
        <w:keepNext w:val="1"/>
        <w:spacing w:after="80" w:before="200" w:line="276" w:lineRule="auto"/>
        <w:jc w:val="left"/>
        <w:rPr/>
      </w:pPr>
      <w:r w:rsidDel="00000000" w:rsidR="00000000" w:rsidRPr="00000000">
        <w:rPr>
          <w:rFonts w:ascii="Calibri" w:cs="Calibri" w:eastAsia="Calibri" w:hAnsi="Calibri"/>
          <w:b w:val="1"/>
          <w:bCs w:val="1"/>
          <w:i w:val="0"/>
          <w:iCs w:val="0"/>
          <w:sz w:val="24"/>
          <w:szCs w:val="24"/>
          <w:rtl w:val="0"/>
        </w:rPr>
        <w:t xml:space="preserve">Epistemic Guardrails</w:t>
      </w:r>
      <w:r w:rsidDel="00000000" w:rsidR="00000000" w:rsidRPr="00000000">
        <w:rPr>
          <w:rtl w:val="0"/>
        </w:rPr>
      </w:r>
    </w:p>
    <w:p w:rsidR="00000000" w:rsidDel="00000000" w:rsidP="00000000" w:rsidRDefault="00000000" w:rsidRPr="00000000" w14:paraId="00000045">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We designed the system to refuse, in detail, rather than to fabricate. If the retriever returns nothing above threshold, the generator does not write a paragraph from training priors; it redirects. If a user asks for the scholar's opinion on a 2026 event the corpus does not address, the system declines and offers adjacent material. If a user asks about a living person by name, the system declines under a hard refusal rule inherited from a curated refusal library.</w:t>
      </w:r>
      <w:r w:rsidDel="00000000" w:rsidR="00000000" w:rsidRPr="00000000">
        <w:rPr>
          <w:rtl w:val="0"/>
        </w:rPr>
      </w:r>
    </w:p>
    <w:p w:rsidR="00000000" w:rsidDel="00000000" w:rsidP="00000000" w:rsidRDefault="00000000" w:rsidRPr="00000000" w14:paraId="00000046">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educational literature on RAG for instruction has repeatedly found that retrieval grounding reduces hallucination in student-facing chatbots compared with unaugmented language models (Swacha &amp; Gracel, 2025). Our case reinforces that finding and tightens it: the value of RAG is not only factual accuracy but epistemic humility.</w:t>
      </w:r>
      <w:r w:rsidDel="00000000" w:rsidR="00000000" w:rsidRPr="00000000">
        <w:rPr>
          <w:rtl w:val="0"/>
        </w:rPr>
        <w:t xml:space="preserve"> In light of the persistent problem of </w:t>
      </w:r>
      <w:r w:rsidDel="00000000" w:rsidR="00000000" w:rsidRPr="00000000">
        <w:rPr>
          <w:rFonts w:ascii="Calibri" w:cs="Calibri" w:eastAsia="Calibri" w:hAnsi="Calibri"/>
          <w:b w:val="0"/>
          <w:bCs w:val="0"/>
          <w:i w:val="0"/>
          <w:iCs w:val="0"/>
          <w:sz w:val="22"/>
          <w:szCs w:val="22"/>
          <w:rtl w:val="0"/>
        </w:rPr>
        <w:t xml:space="preserve">misattribution, it is counter-productive to </w:t>
      </w:r>
      <w:r w:rsidDel="00000000" w:rsidR="00000000" w:rsidRPr="00000000">
        <w:rPr>
          <w:rtl w:val="0"/>
        </w:rPr>
        <w:t xml:space="preserve">generate</w:t>
      </w:r>
      <w:r w:rsidDel="00000000" w:rsidR="00000000" w:rsidRPr="00000000">
        <w:rPr>
          <w:rFonts w:ascii="Calibri" w:cs="Calibri" w:eastAsia="Calibri" w:hAnsi="Calibri"/>
          <w:b w:val="0"/>
          <w:bCs w:val="0"/>
          <w:i w:val="0"/>
          <w:iCs w:val="0"/>
          <w:sz w:val="22"/>
          <w:szCs w:val="22"/>
          <w:rtl w:val="0"/>
        </w:rPr>
        <w:t xml:space="preserve"> </w:t>
      </w:r>
      <w:r w:rsidDel="00000000" w:rsidR="00000000" w:rsidRPr="00000000">
        <w:rPr>
          <w:rtl w:val="0"/>
        </w:rPr>
        <w:t xml:space="preserve">c</w:t>
      </w:r>
      <w:r w:rsidDel="00000000" w:rsidR="00000000" w:rsidRPr="00000000">
        <w:rPr>
          <w:rFonts w:ascii="Calibri" w:cs="Calibri" w:eastAsia="Calibri" w:hAnsi="Calibri"/>
          <w:b w:val="0"/>
          <w:bCs w:val="0"/>
          <w:i w:val="0"/>
          <w:iCs w:val="0"/>
          <w:sz w:val="22"/>
          <w:szCs w:val="22"/>
          <w:rtl w:val="0"/>
        </w:rPr>
        <w:t xml:space="preserve">onfident responses about topics the scholar never addressed.  Refusal is how the system keeps faith with the corpus.</w:t>
      </w:r>
      <w:r w:rsidDel="00000000" w:rsidR="00000000" w:rsidRPr="00000000">
        <w:rPr>
          <w:rtl w:val="0"/>
        </w:rPr>
      </w:r>
    </w:p>
    <w:p w:rsidR="00000000" w:rsidDel="00000000" w:rsidP="00000000" w:rsidRDefault="00000000" w:rsidRPr="00000000" w14:paraId="00000047">
      <w:pPr>
        <w:keepNext w:val="1"/>
        <w:spacing w:after="80" w:before="200" w:line="276" w:lineRule="auto"/>
        <w:jc w:val="left"/>
        <w:rPr/>
      </w:pPr>
      <w:r w:rsidDel="00000000" w:rsidR="00000000" w:rsidRPr="00000000">
        <w:rPr>
          <w:rFonts w:ascii="Calibri" w:cs="Calibri" w:eastAsia="Calibri" w:hAnsi="Calibri"/>
          <w:b w:val="1"/>
          <w:bCs w:val="1"/>
          <w:i w:val="0"/>
          <w:iCs w:val="0"/>
          <w:sz w:val="24"/>
          <w:szCs w:val="24"/>
          <w:rtl w:val="0"/>
        </w:rPr>
        <w:t xml:space="preserve">Refusal as Feature</w:t>
      </w:r>
      <w:r w:rsidDel="00000000" w:rsidR="00000000" w:rsidRPr="00000000">
        <w:rPr>
          <w:rtl w:val="0"/>
        </w:rPr>
      </w:r>
    </w:p>
    <w:p w:rsidR="00000000" w:rsidDel="00000000" w:rsidP="00000000" w:rsidRDefault="00000000" w:rsidRPr="00000000" w14:paraId="00000048">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Interaction designers are trained to minimize friction. In contrast, o</w:t>
      </w:r>
      <w:r w:rsidDel="00000000" w:rsidR="00000000" w:rsidRPr="00000000">
        <w:rPr>
          <w:rtl w:val="0"/>
        </w:rPr>
        <w:t xml:space="preserve">ur</w:t>
      </w:r>
      <w:r w:rsidDel="00000000" w:rsidR="00000000" w:rsidRPr="00000000">
        <w:rPr>
          <w:rFonts w:ascii="Calibri" w:cs="Calibri" w:eastAsia="Calibri" w:hAnsi="Calibri"/>
          <w:b w:val="0"/>
          <w:bCs w:val="0"/>
          <w:i w:val="0"/>
          <w:iCs w:val="0"/>
          <w:sz w:val="22"/>
          <w:szCs w:val="22"/>
          <w:rtl w:val="0"/>
        </w:rPr>
        <w:t xml:space="preserve"> system increases friction on purpose. A refusal is a small moment of epistemic resistance, and we built the refusal library to make those moments warm rather than blunt. When the companion declines, it redirects: "Ask me about my years at UC Riverside," or "Let me tell you what I have written on this." The warmth is cadenced to the scholar's own public style, which has always blended scholarly clarity with conversational openness (Cortés, 2002; Cortés, 2025b). The refusal is not a bug, an apology, or a lawyer's disclaimer. It is the companion honoring the limits of its own knowledge, which is how good </w:t>
      </w:r>
      <w:r w:rsidDel="00000000" w:rsidR="00000000" w:rsidRPr="00000000">
        <w:rPr>
          <w:rtl w:val="0"/>
        </w:rPr>
        <w:t xml:space="preserve">teachers</w:t>
      </w:r>
      <w:r w:rsidDel="00000000" w:rsidR="00000000" w:rsidRPr="00000000">
        <w:rPr>
          <w:rFonts w:ascii="Calibri" w:cs="Calibri" w:eastAsia="Calibri" w:hAnsi="Calibri"/>
          <w:b w:val="0"/>
          <w:bCs w:val="0"/>
          <w:i w:val="0"/>
          <w:iCs w:val="0"/>
          <w:sz w:val="22"/>
          <w:szCs w:val="22"/>
          <w:rtl w:val="0"/>
        </w:rPr>
        <w:t xml:space="preserve"> </w:t>
      </w:r>
      <w:r w:rsidDel="00000000" w:rsidR="00000000" w:rsidRPr="00000000">
        <w:rPr>
          <w:rtl w:val="0"/>
        </w:rPr>
        <w:t xml:space="preserve">behave</w:t>
      </w:r>
      <w:r w:rsidDel="00000000" w:rsidR="00000000" w:rsidRPr="00000000">
        <w:rPr>
          <w:rFonts w:ascii="Calibri" w:cs="Calibri" w:eastAsia="Calibri" w:hAnsi="Calibri"/>
          <w:b w:val="0"/>
          <w:bCs w:val="0"/>
          <w:i w:val="0"/>
          <w:iCs w:val="0"/>
          <w:sz w:val="22"/>
          <w:szCs w:val="22"/>
          <w:rtl w:val="0"/>
        </w:rPr>
        <w:t xml:space="preserve"> when asked a question outside</w:t>
      </w:r>
      <w:r w:rsidDel="00000000" w:rsidR="00000000" w:rsidRPr="00000000">
        <w:rPr>
          <w:rtl w:val="0"/>
        </w:rPr>
        <w:t xml:space="preserve"> of their expertise.</w:t>
      </w:r>
      <w:r w:rsidDel="00000000" w:rsidR="00000000" w:rsidRPr="00000000">
        <w:rPr>
          <w:rFonts w:ascii="Calibri" w:cs="Calibri" w:eastAsia="Calibri" w:hAnsi="Calibri"/>
          <w:b w:val="0"/>
          <w:bCs w:val="0"/>
          <w:i w:val="0"/>
          <w:iCs w:val="0"/>
          <w:sz w:val="22"/>
          <w:szCs w:val="22"/>
          <w:rtl w:val="0"/>
        </w:rPr>
        <w:t xml:space="preserve">.</w:t>
      </w:r>
      <w:r w:rsidDel="00000000" w:rsidR="00000000" w:rsidRPr="00000000">
        <w:rPr>
          <w:rtl w:val="0"/>
        </w:rPr>
      </w:r>
    </w:p>
    <w:p w:rsidR="00000000" w:rsidDel="00000000" w:rsidP="00000000" w:rsidRDefault="00000000" w:rsidRPr="00000000" w14:paraId="00000049">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UNESCO Independent Expert Group's 2025 report on AI and culture offers a parallel argument at the level of cultural heritage: systems that represent cultural figures should make scope explicit and refusal legible, lest the system silently invent what it cannot cite (UNESCO, 2025). For a scholar still at work, the stakes are immediate rather than curatorial. An invented opinion would be a misrepresentation a living person has to live with, and the longstanding contest over whose knowledge becomes curricular gives that risk a specific historical weight (Morgan, 2024). Warm refusal, we have come to believe, is a small act of respect for the scholar and for the learner. The learner asks a real question, the system acknowledges the edge of its knowledge, and the conversation redirects to material that can actually teach.</w:t>
      </w:r>
      <w:r w:rsidDel="00000000" w:rsidR="00000000" w:rsidRPr="00000000">
        <w:rPr>
          <w:rtl w:val="0"/>
        </w:rPr>
      </w:r>
    </w:p>
    <w:p w:rsidR="00000000" w:rsidDel="00000000" w:rsidP="00000000" w:rsidRDefault="00000000" w:rsidRPr="00000000" w14:paraId="0000004A">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Five Practitioner Moves</w:t>
      </w:r>
      <w:r w:rsidDel="00000000" w:rsidR="00000000" w:rsidRPr="00000000">
        <w:rPr>
          <w:rtl w:val="0"/>
        </w:rPr>
      </w:r>
    </w:p>
    <w:p w:rsidR="00000000" w:rsidDel="00000000" w:rsidP="00000000" w:rsidRDefault="00000000" w:rsidRPr="00000000" w14:paraId="0000004B">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Higher-education institutions reading this will want to know what to do on Monday. We offer five moves. Each is concrete, each costs less than a single course release, and each can be borrowed without hiring a technical team.</w:t>
      </w:r>
      <w:r w:rsidDel="00000000" w:rsidR="00000000" w:rsidRPr="00000000">
        <w:rPr>
          <w:rtl w:val="0"/>
        </w:rPr>
      </w:r>
    </w:p>
    <w:p w:rsidR="00000000" w:rsidDel="00000000" w:rsidP="00000000" w:rsidRDefault="00000000" w:rsidRPr="00000000" w14:paraId="0000004C">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Partner with living scholars, not only archives.</w:t>
      </w:r>
      <w:r w:rsidDel="00000000" w:rsidR="00000000" w:rsidRPr="00000000">
        <w:rPr>
          <w:rFonts w:ascii="Calibri" w:cs="Calibri" w:eastAsia="Calibri" w:hAnsi="Calibri"/>
          <w:b w:val="0"/>
          <w:bCs w:val="0"/>
          <w:i w:val="0"/>
          <w:iCs w:val="0"/>
          <w:sz w:val="22"/>
          <w:szCs w:val="22"/>
          <w:rtl w:val="0"/>
        </w:rPr>
        <w:t xml:space="preserve"> Identify the emeritus faculty members whose work is under-taught, living, and willing. Start a conversation about whether a RAG companion would serve teaching in your institution or field. The partnership begins with a series of conversations, not a contract. Treat the work as co-authorship.</w:t>
      </w:r>
      <w:r w:rsidDel="00000000" w:rsidR="00000000" w:rsidRPr="00000000">
        <w:rPr>
          <w:rtl w:val="0"/>
        </w:rPr>
      </w:r>
    </w:p>
    <w:p w:rsidR="00000000" w:rsidDel="00000000" w:rsidP="00000000" w:rsidRDefault="00000000" w:rsidRPr="00000000" w14:paraId="0000004D">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Treat corpus curation as pedagogy.</w:t>
      </w:r>
      <w:r w:rsidDel="00000000" w:rsidR="00000000" w:rsidRPr="00000000">
        <w:rPr>
          <w:rFonts w:ascii="Calibri" w:cs="Calibri" w:eastAsia="Calibri" w:hAnsi="Calibri"/>
          <w:b w:val="0"/>
          <w:bCs w:val="0"/>
          <w:i w:val="0"/>
          <w:iCs w:val="0"/>
          <w:sz w:val="22"/>
          <w:szCs w:val="22"/>
          <w:rtl w:val="0"/>
        </w:rPr>
        <w:t xml:space="preserve"> Curating the corpus is not a data task; it is a teaching decision about what belongs on the reading list of a companion that will stand next to a scholar's name. Invite the scholar to curate and rank. Publish the corpus inventory alongside the system so teachers can see what the companion knows. This disciplines the claim the system makes.</w:t>
      </w:r>
      <w:r w:rsidDel="00000000" w:rsidR="00000000" w:rsidRPr="00000000">
        <w:rPr>
          <w:rtl w:val="0"/>
        </w:rPr>
      </w:r>
    </w:p>
    <w:p w:rsidR="00000000" w:rsidDel="00000000" w:rsidP="00000000" w:rsidRDefault="00000000" w:rsidRPr="00000000" w14:paraId="0000004E">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Name the representational gap and fix a piece of it.</w:t>
      </w:r>
      <w:r w:rsidDel="00000000" w:rsidR="00000000" w:rsidRPr="00000000">
        <w:rPr>
          <w:rFonts w:ascii="Calibri" w:cs="Calibri" w:eastAsia="Calibri" w:hAnsi="Calibri"/>
          <w:b w:val="0"/>
          <w:bCs w:val="0"/>
          <w:i w:val="0"/>
          <w:iCs w:val="0"/>
          <w:sz w:val="22"/>
          <w:szCs w:val="22"/>
          <w:rtl w:val="0"/>
        </w:rPr>
        <w:t xml:space="preserve"> In the spirit of Marie's dissertation methodology, name race, name underrepresentation, and name the specific scholars whose work your institution under-teaches. A generic commitment to diversity does not produce a RAG companion. Naming the gap with a list, then filling one entry on that list, does.</w:t>
      </w:r>
      <w:r w:rsidDel="00000000" w:rsidR="00000000" w:rsidRPr="00000000">
        <w:rPr>
          <w:rtl w:val="0"/>
        </w:rPr>
      </w:r>
    </w:p>
    <w:p w:rsidR="00000000" w:rsidDel="00000000" w:rsidP="00000000" w:rsidRDefault="00000000" w:rsidRPr="00000000" w14:paraId="0000004F">
      <w:pPr>
        <w:spacing w:after="120" w:line="276" w:lineRule="auto"/>
        <w:ind w:left="0" w:right="0" w:firstLine="0"/>
        <w:jc w:val="both"/>
        <w:rPr>
          <w:b w:val="1"/>
          <w:bCs w:val="1"/>
        </w:rPr>
      </w:pPr>
      <w:r w:rsidDel="00000000" w:rsidR="00000000" w:rsidRPr="00000000">
        <w:rPr>
          <w:rFonts w:ascii="Calibri" w:cs="Calibri" w:eastAsia="Calibri" w:hAnsi="Calibri"/>
          <w:b w:val="1"/>
          <w:bCs w:val="1"/>
          <w:i w:val="0"/>
          <w:iCs w:val="0"/>
          <w:sz w:val="22"/>
          <w:szCs w:val="22"/>
          <w:rtl w:val="0"/>
        </w:rPr>
        <w:t xml:space="preserve">Build refusal into the system prompt.</w:t>
      </w:r>
      <w:r w:rsidDel="00000000" w:rsidR="00000000" w:rsidRPr="00000000">
        <w:rPr>
          <w:rFonts w:ascii="Calibri" w:cs="Calibri" w:eastAsia="Calibri" w:hAnsi="Calibri"/>
          <w:b w:val="0"/>
          <w:bCs w:val="0"/>
          <w:i w:val="0"/>
          <w:iCs w:val="0"/>
          <w:sz w:val="22"/>
          <w:szCs w:val="22"/>
          <w:rtl w:val="0"/>
        </w:rPr>
        <w:t xml:space="preserve"> The system prompt is the policy document of an AI companion. Treat it that way through transparency. Publish the guardrails, publish the refusal library, and publish the criteria for what the companion will not answer. The policy becomes public in a way a model's internal weights never are.  </w:t>
      </w:r>
      <w:r w:rsidDel="00000000" w:rsidR="00000000" w:rsidRPr="00000000">
        <w:rPr>
          <w:b w:val="1"/>
          <w:bCs w:val="1"/>
          <w:i w:val="0"/>
          <w:iCs w:val="0"/>
          <w:sz w:val="22"/>
          <w:szCs w:val="22"/>
          <w:rtl w:val="0"/>
        </w:rPr>
        <w:t xml:space="preserve">(I don</w:t>
      </w:r>
      <w:r w:rsidDel="00000000" w:rsidR="00000000" w:rsidRPr="00000000">
        <w:rPr>
          <w:b w:val="1"/>
          <w:bCs w:val="1"/>
          <w:rtl w:val="0"/>
        </w:rPr>
        <w:t xml:space="preserve">’t know what the last sentence means.}</w:t>
      </w:r>
    </w:p>
    <w:p w:rsidR="00000000" w:rsidDel="00000000" w:rsidP="00000000" w:rsidRDefault="00000000" w:rsidRPr="00000000" w14:paraId="00000050">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Audit the artifact as a living document.</w:t>
      </w:r>
      <w:r w:rsidDel="00000000" w:rsidR="00000000" w:rsidRPr="00000000">
        <w:rPr>
          <w:rFonts w:ascii="Calibri" w:cs="Calibri" w:eastAsia="Calibri" w:hAnsi="Calibri"/>
          <w:b w:val="0"/>
          <w:bCs w:val="0"/>
          <w:i w:val="0"/>
          <w:iCs w:val="0"/>
          <w:sz w:val="22"/>
          <w:szCs w:val="22"/>
          <w:rtl w:val="0"/>
        </w:rPr>
        <w:t xml:space="preserve"> Schedule quarterly reviews with the scholar and a small advisory group of teachers and students. Track what the system refused, what it answered well, and what the scholar wants added or removed. This converts the system from a launch into a practice, which is where AI tools usually fail.</w:t>
      </w:r>
      <w:r w:rsidDel="00000000" w:rsidR="00000000" w:rsidRPr="00000000">
        <w:rPr>
          <w:rtl w:val="0"/>
        </w:rPr>
      </w:r>
    </w:p>
    <w:p w:rsidR="00000000" w:rsidDel="00000000" w:rsidP="00000000" w:rsidRDefault="00000000" w:rsidRPr="00000000" w14:paraId="00000051">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What This Is Not</w:t>
      </w:r>
      <w:r w:rsidDel="00000000" w:rsidR="00000000" w:rsidRPr="00000000">
        <w:rPr>
          <w:rtl w:val="0"/>
        </w:rPr>
      </w:r>
    </w:p>
    <w:p w:rsidR="00000000" w:rsidDel="00000000" w:rsidP="00000000" w:rsidRDefault="00000000" w:rsidRPr="00000000" w14:paraId="00000052">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This is not a replacement for a teacher. A graduate student who interacts with the Cortés companion is not receiving instruction; she is getting a pointer into a curated archive in a form that feels like conversation. The teaching still happens when a professor builds a seminar around the scholar's work and when the student writes a paper the companion cannot write for her. The companion is a supplement, in the narrow sense that it supplements the scholar's written record with an interactive front door.</w:t>
      </w:r>
      <w:r w:rsidDel="00000000" w:rsidR="00000000" w:rsidRPr="00000000">
        <w:rPr>
          <w:rtl w:val="0"/>
        </w:rPr>
      </w:r>
    </w:p>
    <w:p w:rsidR="00000000" w:rsidDel="00000000" w:rsidP="00000000" w:rsidRDefault="00000000" w:rsidRPr="00000000" w14:paraId="00000053">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This is not a deathbot. The literature on the digital afterlife industry has raised sharp ethical questions about postmortem simulacra, consent from the deceased, and the emotional harm to bereaved users (Hollanek &amp; Nowaczyk-Basińska, 2024). Those concerns do not vanish because our scholar is alive; they change shape. The questions that come first for us are authorial: who owns the corpus, who owns the voice, who can revoke. Those questions have living-person answers. Conflating the two cases flattens the ethics.</w:t>
      </w:r>
      <w:r w:rsidDel="00000000" w:rsidR="00000000" w:rsidRPr="00000000">
        <w:rPr>
          <w:rtl w:val="0"/>
        </w:rPr>
      </w:r>
    </w:p>
    <w:p w:rsidR="00000000" w:rsidDel="00000000" w:rsidP="00000000" w:rsidRDefault="00000000" w:rsidRPr="00000000" w14:paraId="00000054">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This is not an oracle. The system does not speak for the scholar on matters the corpus does not address. It will not predict what he would say about a Supreme Court ruling announced last week, what he thinks of a current candidate, or what he would do if hired by a given institution tomorrow. The refusal is not a workaround for a limitation; it is the design.</w:t>
      </w:r>
      <w:r w:rsidDel="00000000" w:rsidR="00000000" w:rsidRPr="00000000">
        <w:rPr>
          <w:rtl w:val="0"/>
        </w:rPr>
      </w:r>
    </w:p>
    <w:p w:rsidR="00000000" w:rsidDel="00000000" w:rsidP="00000000" w:rsidRDefault="00000000" w:rsidRPr="00000000" w14:paraId="00000055">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This is not a solved ethics case. Lehrman v. Lovo (2025) continues to shape the legal conversation around unauthorized voice cloning, and recent AI-ethics work on vocal labor underscores how unsettled consent, control, and downstream use still are (Lehrman v. Lovo, 2025; Sharma et al., 2025). Our response has been to over-document consent on our side of the line rather than wait for the legal framework to settle.</w:t>
      </w:r>
      <w:r w:rsidDel="00000000" w:rsidR="00000000" w:rsidRPr="00000000">
        <w:rPr>
          <w:rtl w:val="0"/>
        </w:rPr>
      </w:r>
    </w:p>
    <w:p w:rsidR="00000000" w:rsidDel="00000000" w:rsidP="00000000" w:rsidRDefault="00000000" w:rsidRPr="00000000" w14:paraId="00000056">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What We Learned, and the Charge</w:t>
      </w:r>
      <w:r w:rsidDel="00000000" w:rsidR="00000000" w:rsidRPr="00000000">
        <w:rPr>
          <w:rtl w:val="0"/>
        </w:rPr>
      </w:r>
    </w:p>
    <w:p w:rsidR="00000000" w:rsidDel="00000000" w:rsidP="00000000" w:rsidRDefault="00000000" w:rsidRPr="00000000" w14:paraId="00000057">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We learned that the hard problems in legacy AI for a living scholar are not technical. Retrieval, embeddings, voice cloning, and avatar rendering are solved enough to be boring. The hard problems are authorial and relational: who gets to decide what goes in, what gets refused, and on what cadence the whole thing is reviewed. The value of RAG in this context is less about reducing hallucination (although it does) and more about giving a scholar a durable interface between their work and a teacher who wants to teach it.</w:t>
      </w:r>
      <w:r w:rsidDel="00000000" w:rsidR="00000000" w:rsidRPr="00000000">
        <w:rPr>
          <w:rtl w:val="0"/>
        </w:rPr>
      </w:r>
    </w:p>
    <w:p w:rsidR="00000000" w:rsidDel="00000000" w:rsidP="00000000" w:rsidRDefault="00000000" w:rsidRPr="00000000" w14:paraId="00000058">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For institutions: your emeritus faculty of color will not be emeritus forever, and the AI companions of the coming decade will either reflect the care of partnerships built while they are still at their desks or the convenience of archives scraped after they are gone. The difference will be legible in the teaching. A partnership built while the scholar curates produces a teachable corpus and a principled refusal library. A scraped archive produces a statistical average and a defensive lawsuit. Pick the first path before the second is all that is available.</w:t>
      </w:r>
      <w:r w:rsidDel="00000000" w:rsidR="00000000" w:rsidRPr="00000000">
        <w:rPr>
          <w:rtl w:val="0"/>
        </w:rPr>
      </w:r>
    </w:p>
    <w:p w:rsidR="00000000" w:rsidDel="00000000" w:rsidP="00000000" w:rsidRDefault="00000000" w:rsidRPr="00000000" w14:paraId="00000059">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For the field: the multicultural-education tradition has always held that representation is not a favor granted to marginalized communities but a structural test of the system (Cortés, 2000; Cortés, 2013; Morgan, 2024). Retrieval-augmented generation is one such structural test. The tool can honor a scholar's authority over their own archive or it can undermine it. The design choice is available to every institution that houses a working scholar, and the choice will be made with or without deliberate care. We are arguing for the deliberate kind.</w:t>
      </w:r>
      <w:r w:rsidDel="00000000" w:rsidR="00000000" w:rsidRPr="00000000">
        <w:rPr>
          <w:rtl w:val="0"/>
        </w:rPr>
      </w:r>
    </w:p>
    <w:p w:rsidR="00000000" w:rsidDel="00000000" w:rsidP="00000000" w:rsidRDefault="00000000" w:rsidRPr="00000000" w14:paraId="0000005A">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For teachers using the companion in their own classrooms: treat it the way you would treat a well-curated reader. Ask students to bring the companion's response into conversation with a primary source, not to substitute for one. Let the students catch the system when it refuses, and discuss why. The pedagogical value of a well-bounded AI is partly in its limits; a student who learns to notice when a system declines has learned something real about knowledge, evidence, and epistemic humility.</w:t>
      </w:r>
      <w:r w:rsidDel="00000000" w:rsidR="00000000" w:rsidRPr="00000000">
        <w:rPr>
          <w:rtl w:val="0"/>
        </w:rPr>
      </w:r>
    </w:p>
    <w:p w:rsidR="00000000" w:rsidDel="00000000" w:rsidP="00000000" w:rsidRDefault="00000000" w:rsidRPr="00000000" w14:paraId="0000005B">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For the scholar at the center of this work: the last word on Dr. Cortés's own voice belongs to him, which is why this article cites his writings and does not put words in his mouth. The companion the three of us are building is </w:t>
      </w:r>
      <w:r w:rsidDel="00000000" w:rsidR="00000000" w:rsidRPr="00000000">
        <w:rPr>
          <w:rtl w:val="0"/>
        </w:rPr>
        <w:t xml:space="preserve">n</w:t>
      </w:r>
      <w:r w:rsidDel="00000000" w:rsidR="00000000" w:rsidRPr="00000000">
        <w:rPr>
          <w:rFonts w:ascii="Calibri" w:cs="Calibri" w:eastAsia="Calibri" w:hAnsi="Calibri"/>
          <w:b w:val="0"/>
          <w:bCs w:val="0"/>
          <w:i w:val="0"/>
          <w:iCs w:val="0"/>
          <w:sz w:val="22"/>
          <w:szCs w:val="22"/>
          <w:rtl w:val="0"/>
        </w:rPr>
        <w:t xml:space="preserve">ot a monument nor</w:t>
      </w:r>
      <w:r w:rsidDel="00000000" w:rsidR="00000000" w:rsidRPr="00000000">
        <w:rPr>
          <w:rtl w:val="0"/>
        </w:rPr>
        <w:t xml:space="preserve"> </w:t>
      </w:r>
      <w:r w:rsidDel="00000000" w:rsidR="00000000" w:rsidRPr="00000000">
        <w:rPr>
          <w:rFonts w:ascii="Calibri" w:cs="Calibri" w:eastAsia="Calibri" w:hAnsi="Calibri"/>
          <w:b w:val="0"/>
          <w:bCs w:val="0"/>
          <w:i w:val="0"/>
          <w:iCs w:val="0"/>
          <w:sz w:val="22"/>
          <w:szCs w:val="22"/>
          <w:rtl w:val="0"/>
        </w:rPr>
        <w:t xml:space="preserve">a ghost; it is a teaching tool, in the same tradition as the ethnic-studies principles he drafted in 2021 and the Anti-Racism Vision Statement he coordinated in 2020. The building of such tools, with consent, with refusal, with care, is the teaching.</w:t>
      </w:r>
      <w:r w:rsidDel="00000000" w:rsidR="00000000" w:rsidRPr="00000000">
        <w:rPr>
          <w:rtl w:val="0"/>
        </w:rPr>
      </w:r>
    </w:p>
    <w:p w:rsidR="00000000" w:rsidDel="00000000" w:rsidP="00000000" w:rsidRDefault="00000000" w:rsidRPr="00000000" w14:paraId="0000005C">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Author contributions</w:t>
      </w:r>
      <w:r w:rsidDel="00000000" w:rsidR="00000000" w:rsidRPr="00000000">
        <w:rPr>
          <w:rtl w:val="0"/>
        </w:rPr>
      </w:r>
    </w:p>
    <w:p w:rsidR="00000000" w:rsidDel="00000000" w:rsidP="00000000" w:rsidRDefault="00000000" w:rsidRPr="00000000" w14:paraId="0000005D">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contributions below follow the CRediT taxonomy.</w:t>
      </w:r>
      <w:r w:rsidDel="00000000" w:rsidR="00000000" w:rsidRPr="00000000">
        <w:rPr>
          <w:rtl w:val="0"/>
        </w:rPr>
      </w:r>
    </w:p>
    <w:p w:rsidR="00000000" w:rsidDel="00000000" w:rsidP="00000000" w:rsidRDefault="00000000" w:rsidRPr="00000000" w14:paraId="0000005E">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Marie Martin:</w:t>
      </w:r>
      <w:r w:rsidDel="00000000" w:rsidR="00000000" w:rsidRPr="00000000">
        <w:rPr>
          <w:rFonts w:ascii="Calibri" w:cs="Calibri" w:eastAsia="Calibri" w:hAnsi="Calibri"/>
          <w:b w:val="0"/>
          <w:bCs w:val="0"/>
          <w:i w:val="0"/>
          <w:iCs w:val="0"/>
          <w:sz w:val="22"/>
          <w:szCs w:val="22"/>
          <w:rtl w:val="0"/>
        </w:rPr>
        <w:t xml:space="preserve"> Conceptualization, methodology, investigation, writing - original draft, writing - review and editing, supervision. </w:t>
      </w:r>
      <w:r w:rsidDel="00000000" w:rsidR="00000000" w:rsidRPr="00000000">
        <w:rPr>
          <w:rFonts w:ascii="Calibri" w:cs="Calibri" w:eastAsia="Calibri" w:hAnsi="Calibri"/>
          <w:b w:val="1"/>
          <w:bCs w:val="1"/>
          <w:i w:val="0"/>
          <w:iCs w:val="0"/>
          <w:sz w:val="22"/>
          <w:szCs w:val="22"/>
          <w:rtl w:val="0"/>
        </w:rPr>
        <w:t xml:space="preserve">Carlos E. Cortés:</w:t>
      </w:r>
      <w:r w:rsidDel="00000000" w:rsidR="00000000" w:rsidRPr="00000000">
        <w:rPr>
          <w:rFonts w:ascii="Calibri" w:cs="Calibri" w:eastAsia="Calibri" w:hAnsi="Calibri"/>
          <w:b w:val="0"/>
          <w:bCs w:val="0"/>
          <w:i w:val="0"/>
          <w:iCs w:val="0"/>
          <w:sz w:val="22"/>
          <w:szCs w:val="22"/>
          <w:rtl w:val="0"/>
        </w:rPr>
        <w:t xml:space="preserve"> Resources, data curation (corpus review), validation, writing - review and editing after manuscript review. </w:t>
      </w:r>
      <w:r w:rsidDel="00000000" w:rsidR="00000000" w:rsidRPr="00000000">
        <w:rPr>
          <w:rFonts w:ascii="Calibri" w:cs="Calibri" w:eastAsia="Calibri" w:hAnsi="Calibri"/>
          <w:b w:val="1"/>
          <w:bCs w:val="1"/>
          <w:i w:val="0"/>
          <w:iCs w:val="0"/>
          <w:sz w:val="22"/>
          <w:szCs w:val="22"/>
          <w:rtl w:val="0"/>
        </w:rPr>
        <w:t xml:space="preserve">Charles Martin:</w:t>
      </w:r>
      <w:r w:rsidDel="00000000" w:rsidR="00000000" w:rsidRPr="00000000">
        <w:rPr>
          <w:rFonts w:ascii="Calibri" w:cs="Calibri" w:eastAsia="Calibri" w:hAnsi="Calibri"/>
          <w:b w:val="0"/>
          <w:bCs w:val="0"/>
          <w:i w:val="0"/>
          <w:iCs w:val="0"/>
          <w:sz w:val="22"/>
          <w:szCs w:val="22"/>
          <w:rtl w:val="0"/>
        </w:rPr>
        <w:t xml:space="preserve"> Conceptualization, methodology, software, data curation, writing - original draft, writing - review and editing, project administration.</w:t>
      </w:r>
      <w:r w:rsidDel="00000000" w:rsidR="00000000" w:rsidRPr="00000000">
        <w:rPr>
          <w:rtl w:val="0"/>
        </w:rPr>
      </w:r>
    </w:p>
    <w:p w:rsidR="00000000" w:rsidDel="00000000" w:rsidP="00000000" w:rsidRDefault="00000000" w:rsidRPr="00000000" w14:paraId="0000005F">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Funding</w:t>
      </w:r>
      <w:r w:rsidDel="00000000" w:rsidR="00000000" w:rsidRPr="00000000">
        <w:rPr>
          <w:rtl w:val="0"/>
        </w:rPr>
      </w:r>
    </w:p>
    <w:p w:rsidR="00000000" w:rsidDel="00000000" w:rsidP="00000000" w:rsidRDefault="00000000" w:rsidRPr="00000000" w14:paraId="00000060">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This work was self-funded by the authors. No external grant supported the development of the Dr. Cortés Interactive chatbot and timeline or the preparation of this article.</w:t>
      </w:r>
      <w:r w:rsidDel="00000000" w:rsidR="00000000" w:rsidRPr="00000000">
        <w:rPr>
          <w:rtl w:val="0"/>
        </w:rPr>
      </w:r>
    </w:p>
    <w:p w:rsidR="00000000" w:rsidDel="00000000" w:rsidP="00000000" w:rsidRDefault="00000000" w:rsidRPr="00000000" w14:paraId="00000061">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Competing Interests</w:t>
      </w:r>
      <w:r w:rsidDel="00000000" w:rsidR="00000000" w:rsidRPr="00000000">
        <w:rPr>
          <w:rtl w:val="0"/>
        </w:rPr>
      </w:r>
    </w:p>
    <w:p w:rsidR="00000000" w:rsidDel="00000000" w:rsidP="00000000" w:rsidRDefault="00000000" w:rsidRPr="00000000" w14:paraId="00000062">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authors declare no financial competing interests. Dr. Charles Martin and Dr. Marie Martin developed and operate the Dr. Cortés Interactive chatbot and timeline described in this article. Dr. Cortés received no financial compensation for participating in the project described and retains rights over his own voice and corpus.</w:t>
      </w:r>
      <w:r w:rsidDel="00000000" w:rsidR="00000000" w:rsidRPr="00000000">
        <w:rPr>
          <w:rtl w:val="0"/>
        </w:rPr>
      </w:r>
    </w:p>
    <w:p w:rsidR="00000000" w:rsidDel="00000000" w:rsidP="00000000" w:rsidRDefault="00000000" w:rsidRPr="00000000" w14:paraId="00000063">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Ethics Statement</w:t>
      </w:r>
      <w:r w:rsidDel="00000000" w:rsidR="00000000" w:rsidRPr="00000000">
        <w:rPr>
          <w:rtl w:val="0"/>
        </w:rPr>
      </w:r>
    </w:p>
    <w:p w:rsidR="00000000" w:rsidDel="00000000" w:rsidP="00000000" w:rsidRDefault="00000000" w:rsidRPr="00000000" w14:paraId="00000064">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This project involves a living human collaborator, Dr. Carlos E. Cortés, as a consenting co-author and participant. Because the work is a pedagogical and scholarly collaboration rather than human-subjects research in the regulatory sense, it did not require institutional review board oversight under the Common Rule. Consent was nonetheless established across three tiers (voice, corpus, representation), reviewed iteratively, and remains revocable at the scholar's request. No data from users of the public companion has been used for research purposes in this article.</w:t>
      </w:r>
      <w:r w:rsidDel="00000000" w:rsidR="00000000" w:rsidRPr="00000000">
        <w:rPr>
          <w:rtl w:val="0"/>
        </w:rPr>
      </w:r>
    </w:p>
    <w:p w:rsidR="00000000" w:rsidDel="00000000" w:rsidP="00000000" w:rsidRDefault="00000000" w:rsidRPr="00000000" w14:paraId="00000065">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Data Availability</w:t>
      </w:r>
      <w:r w:rsidDel="00000000" w:rsidR="00000000" w:rsidRPr="00000000">
        <w:rPr>
          <w:rtl w:val="0"/>
        </w:rPr>
      </w:r>
    </w:p>
    <w:p w:rsidR="00000000" w:rsidDel="00000000" w:rsidP="00000000" w:rsidRDefault="00000000" w:rsidRPr="00000000" w14:paraId="00000066">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Manuscript materials, figures, and review documents for this article series are being staged in a private review repository pending co-author review. Project code, guardrails, and corpus materials for the Dr. Cortés Interactive chatbot and timeline are maintained in separate repositories. The full corpus remains under the scholar's curation. Editors may request access to non-public review materials from the corresponding author after co-author review is complete.</w:t>
      </w:r>
      <w:r w:rsidDel="00000000" w:rsidR="00000000" w:rsidRPr="00000000">
        <w:rPr>
          <w:rtl w:val="0"/>
        </w:rPr>
      </w:r>
    </w:p>
    <w:p w:rsidR="00000000" w:rsidDel="00000000" w:rsidP="00000000" w:rsidRDefault="00000000" w:rsidRPr="00000000" w14:paraId="00000067">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Acknowledgments</w:t>
      </w:r>
      <w:r w:rsidDel="00000000" w:rsidR="00000000" w:rsidRPr="00000000">
        <w:rPr>
          <w:rtl w:val="0"/>
        </w:rPr>
      </w:r>
    </w:p>
    <w:p w:rsidR="00000000" w:rsidDel="00000000" w:rsidP="00000000" w:rsidRDefault="00000000" w:rsidRPr="00000000" w14:paraId="00000068">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authors thank Dr. Carlos E. Cortés for his partnership, patience, and curation of the corpus that anchors this project. This draft is provided for his review and has not yet been approved by him. We thank colleagues at UC Riverside's Edward A. Dickson emeritus program for logistical support, and the graduate students and teacher-candidates who tested early versions of the companion and helped us refine the refusal library.</w:t>
      </w:r>
      <w:r w:rsidDel="00000000" w:rsidR="00000000" w:rsidRPr="00000000">
        <w:rPr>
          <w:rtl w:val="0"/>
        </w:rPr>
      </w:r>
    </w:p>
    <w:p w:rsidR="00000000" w:rsidDel="00000000" w:rsidP="00000000" w:rsidRDefault="00000000" w:rsidRPr="00000000" w14:paraId="00000069">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References</w:t>
      </w:r>
      <w:r w:rsidDel="00000000" w:rsidR="00000000" w:rsidRPr="00000000">
        <w:rPr>
          <w:rtl w:val="0"/>
        </w:rPr>
      </w:r>
    </w:p>
    <w:p w:rsidR="00000000" w:rsidDel="00000000" w:rsidP="00000000" w:rsidRDefault="00000000" w:rsidRPr="00000000" w14:paraId="0000006A">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(2000). </w:t>
      </w:r>
      <w:r w:rsidDel="00000000" w:rsidR="00000000" w:rsidRPr="00000000">
        <w:rPr>
          <w:rFonts w:ascii="Calibri" w:cs="Calibri" w:eastAsia="Calibri" w:hAnsi="Calibri"/>
          <w:b w:val="0"/>
          <w:bCs w:val="0"/>
          <w:i w:val="1"/>
          <w:iCs w:val="1"/>
          <w:sz w:val="22"/>
          <w:szCs w:val="22"/>
          <w:rtl w:val="0"/>
        </w:rPr>
        <w:t xml:space="preserve">The children are watching: How the media teach about diversity</w:t>
      </w:r>
      <w:r w:rsidDel="00000000" w:rsidR="00000000" w:rsidRPr="00000000">
        <w:rPr>
          <w:rFonts w:ascii="Calibri" w:cs="Calibri" w:eastAsia="Calibri" w:hAnsi="Calibri"/>
          <w:b w:val="0"/>
          <w:bCs w:val="0"/>
          <w:i w:val="0"/>
          <w:iCs w:val="0"/>
          <w:sz w:val="22"/>
          <w:szCs w:val="22"/>
          <w:rtl w:val="0"/>
        </w:rPr>
        <w:t xml:space="preserve">. Teachers College Press.</w:t>
      </w:r>
      <w:r w:rsidDel="00000000" w:rsidR="00000000" w:rsidRPr="00000000">
        <w:rPr>
          <w:rtl w:val="0"/>
        </w:rPr>
      </w:r>
    </w:p>
    <w:p w:rsidR="00000000" w:rsidDel="00000000" w:rsidP="00000000" w:rsidRDefault="00000000" w:rsidRPr="00000000" w14:paraId="0000006B">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(2002). </w:t>
      </w:r>
      <w:r w:rsidDel="00000000" w:rsidR="00000000" w:rsidRPr="00000000">
        <w:rPr>
          <w:rFonts w:ascii="Calibri" w:cs="Calibri" w:eastAsia="Calibri" w:hAnsi="Calibri"/>
          <w:b w:val="0"/>
          <w:bCs w:val="0"/>
          <w:i w:val="1"/>
          <w:iCs w:val="1"/>
          <w:sz w:val="22"/>
          <w:szCs w:val="22"/>
          <w:rtl w:val="0"/>
        </w:rPr>
        <w:t xml:space="preserve">The making and remaking of a multiculturalist</w:t>
      </w:r>
      <w:r w:rsidDel="00000000" w:rsidR="00000000" w:rsidRPr="00000000">
        <w:rPr>
          <w:rFonts w:ascii="Calibri" w:cs="Calibri" w:eastAsia="Calibri" w:hAnsi="Calibri"/>
          <w:b w:val="0"/>
          <w:bCs w:val="0"/>
          <w:i w:val="0"/>
          <w:iCs w:val="0"/>
          <w:sz w:val="22"/>
          <w:szCs w:val="22"/>
          <w:rtl w:val="0"/>
        </w:rPr>
        <w:t xml:space="preserve">. Teachers College Press.</w:t>
      </w:r>
      <w:r w:rsidDel="00000000" w:rsidR="00000000" w:rsidRPr="00000000">
        <w:rPr>
          <w:rtl w:val="0"/>
        </w:rPr>
      </w:r>
    </w:p>
    <w:p w:rsidR="00000000" w:rsidDel="00000000" w:rsidP="00000000" w:rsidRDefault="00000000" w:rsidRPr="00000000" w14:paraId="0000006C">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(2012). </w:t>
      </w:r>
      <w:r w:rsidDel="00000000" w:rsidR="00000000" w:rsidRPr="00000000">
        <w:rPr>
          <w:rFonts w:ascii="Calibri" w:cs="Calibri" w:eastAsia="Calibri" w:hAnsi="Calibri"/>
          <w:b w:val="0"/>
          <w:bCs w:val="0"/>
          <w:i w:val="1"/>
          <w:iCs w:val="1"/>
          <w:sz w:val="22"/>
          <w:szCs w:val="22"/>
          <w:rtl w:val="0"/>
        </w:rPr>
        <w:t xml:space="preserve">Rose Hill: An intermarriage before its time</w:t>
      </w:r>
      <w:r w:rsidDel="00000000" w:rsidR="00000000" w:rsidRPr="00000000">
        <w:rPr>
          <w:rFonts w:ascii="Calibri" w:cs="Calibri" w:eastAsia="Calibri" w:hAnsi="Calibri"/>
          <w:b w:val="0"/>
          <w:bCs w:val="0"/>
          <w:i w:val="0"/>
          <w:iCs w:val="0"/>
          <w:sz w:val="22"/>
          <w:szCs w:val="22"/>
          <w:rtl w:val="0"/>
        </w:rPr>
        <w:t xml:space="preserve">. Heyday.</w:t>
      </w:r>
      <w:r w:rsidDel="00000000" w:rsidR="00000000" w:rsidRPr="00000000">
        <w:rPr>
          <w:rtl w:val="0"/>
        </w:rPr>
      </w:r>
    </w:p>
    <w:p w:rsidR="00000000" w:rsidDel="00000000" w:rsidP="00000000" w:rsidRDefault="00000000" w:rsidRPr="00000000" w14:paraId="0000006D">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(Ed.). (2013). </w:t>
      </w:r>
      <w:r w:rsidDel="00000000" w:rsidR="00000000" w:rsidRPr="00000000">
        <w:rPr>
          <w:rFonts w:ascii="Calibri" w:cs="Calibri" w:eastAsia="Calibri" w:hAnsi="Calibri"/>
          <w:b w:val="0"/>
          <w:bCs w:val="0"/>
          <w:i w:val="1"/>
          <w:iCs w:val="1"/>
          <w:sz w:val="22"/>
          <w:szCs w:val="22"/>
          <w:rtl w:val="0"/>
        </w:rPr>
        <w:t xml:space="preserve">Multicultural America: A multimedia encyclopedia</w:t>
      </w:r>
      <w:r w:rsidDel="00000000" w:rsidR="00000000" w:rsidRPr="00000000">
        <w:rPr>
          <w:rFonts w:ascii="Calibri" w:cs="Calibri" w:eastAsia="Calibri" w:hAnsi="Calibri"/>
          <w:b w:val="0"/>
          <w:bCs w:val="0"/>
          <w:i w:val="0"/>
          <w:iCs w:val="0"/>
          <w:sz w:val="22"/>
          <w:szCs w:val="22"/>
          <w:rtl w:val="0"/>
        </w:rPr>
        <w:t xml:space="preserve"> (Vols. 1-4). SAGE Publications. https://doi.org/10.4135/9781452276274</w:t>
      </w:r>
      <w:r w:rsidDel="00000000" w:rsidR="00000000" w:rsidRPr="00000000">
        <w:rPr>
          <w:rtl w:val="0"/>
        </w:rPr>
      </w:r>
    </w:p>
    <w:p w:rsidR="00000000" w:rsidDel="00000000" w:rsidP="00000000" w:rsidRDefault="00000000" w:rsidRPr="00000000" w14:paraId="0000006E">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(2016). </w:t>
      </w:r>
      <w:r w:rsidDel="00000000" w:rsidR="00000000" w:rsidRPr="00000000">
        <w:rPr>
          <w:rFonts w:ascii="Calibri" w:cs="Calibri" w:eastAsia="Calibri" w:hAnsi="Calibri"/>
          <w:b w:val="0"/>
          <w:bCs w:val="0"/>
          <w:i w:val="1"/>
          <w:iCs w:val="1"/>
          <w:sz w:val="22"/>
          <w:szCs w:val="22"/>
          <w:rtl w:val="0"/>
        </w:rPr>
        <w:t xml:space="preserve">Fourth quarter: Reflections of a cranky old man</w:t>
      </w:r>
      <w:r w:rsidDel="00000000" w:rsidR="00000000" w:rsidRPr="00000000">
        <w:rPr>
          <w:rFonts w:ascii="Calibri" w:cs="Calibri" w:eastAsia="Calibri" w:hAnsi="Calibri"/>
          <w:b w:val="0"/>
          <w:bCs w:val="0"/>
          <w:i w:val="0"/>
          <w:iCs w:val="0"/>
          <w:sz w:val="22"/>
          <w:szCs w:val="22"/>
          <w:rtl w:val="0"/>
        </w:rPr>
        <w:t xml:space="preserve">. Bad Knee Press.</w:t>
      </w:r>
      <w:r w:rsidDel="00000000" w:rsidR="00000000" w:rsidRPr="00000000">
        <w:rPr>
          <w:rtl w:val="0"/>
        </w:rPr>
      </w:r>
    </w:p>
    <w:p w:rsidR="00000000" w:rsidDel="00000000" w:rsidP="00000000" w:rsidRDefault="00000000" w:rsidRPr="00000000" w14:paraId="0000006F">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(2019). Beyond free speech: Fostering civic engagement at the intersection of diversity and expression. </w:t>
      </w:r>
      <w:r w:rsidDel="00000000" w:rsidR="00000000" w:rsidRPr="00000000">
        <w:rPr>
          <w:rFonts w:ascii="Calibri" w:cs="Calibri" w:eastAsia="Calibri" w:hAnsi="Calibri"/>
          <w:b w:val="0"/>
          <w:bCs w:val="0"/>
          <w:i w:val="1"/>
          <w:iCs w:val="1"/>
          <w:sz w:val="22"/>
          <w:szCs w:val="22"/>
          <w:rtl w:val="0"/>
        </w:rPr>
        <w:t xml:space="preserve">American Diversity Report.</w:t>
      </w:r>
      <w:r w:rsidDel="00000000" w:rsidR="00000000" w:rsidRPr="00000000">
        <w:rPr>
          <w:rtl w:val="0"/>
        </w:rPr>
      </w:r>
    </w:p>
    <w:p w:rsidR="00000000" w:rsidDel="00000000" w:rsidP="00000000" w:rsidRDefault="00000000" w:rsidRPr="00000000" w14:paraId="00000070">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(2025a). </w:t>
      </w:r>
      <w:r w:rsidDel="00000000" w:rsidR="00000000" w:rsidRPr="00000000">
        <w:rPr>
          <w:rFonts w:ascii="Calibri" w:cs="Calibri" w:eastAsia="Calibri" w:hAnsi="Calibri"/>
          <w:b w:val="0"/>
          <w:bCs w:val="0"/>
          <w:i w:val="1"/>
          <w:iCs w:val="1"/>
          <w:sz w:val="22"/>
          <w:szCs w:val="22"/>
          <w:rtl w:val="0"/>
        </w:rPr>
        <w:t xml:space="preserve">Scouts' honor</w:t>
      </w:r>
      <w:r w:rsidDel="00000000" w:rsidR="00000000" w:rsidRPr="00000000">
        <w:rPr>
          <w:rFonts w:ascii="Calibri" w:cs="Calibri" w:eastAsia="Calibri" w:hAnsi="Calibri"/>
          <w:b w:val="0"/>
          <w:bCs w:val="0"/>
          <w:i w:val="0"/>
          <w:iCs w:val="0"/>
          <w:sz w:val="22"/>
          <w:szCs w:val="22"/>
          <w:rtl w:val="0"/>
        </w:rPr>
        <w:t xml:space="preserve">. Inlandia Institute.</w:t>
      </w:r>
      <w:r w:rsidDel="00000000" w:rsidR="00000000" w:rsidRPr="00000000">
        <w:rPr>
          <w:rtl w:val="0"/>
        </w:rPr>
      </w:r>
    </w:p>
    <w:p w:rsidR="00000000" w:rsidDel="00000000" w:rsidP="00000000" w:rsidRDefault="00000000" w:rsidRPr="00000000" w14:paraId="00000071">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(2025b). Renewing multicultural education: An ancient mariner's manifesto. </w:t>
      </w:r>
      <w:r w:rsidDel="00000000" w:rsidR="00000000" w:rsidRPr="00000000">
        <w:rPr>
          <w:rFonts w:ascii="Calibri" w:cs="Calibri" w:eastAsia="Calibri" w:hAnsi="Calibri"/>
          <w:b w:val="0"/>
          <w:bCs w:val="0"/>
          <w:i w:val="1"/>
          <w:iCs w:val="1"/>
          <w:sz w:val="22"/>
          <w:szCs w:val="22"/>
          <w:rtl w:val="0"/>
        </w:rPr>
        <w:t xml:space="preserve">Multicultural Perspectives, 27</w:t>
      </w:r>
      <w:r w:rsidDel="00000000" w:rsidR="00000000" w:rsidRPr="00000000">
        <w:rPr>
          <w:rFonts w:ascii="Calibri" w:cs="Calibri" w:eastAsia="Calibri" w:hAnsi="Calibri"/>
          <w:b w:val="0"/>
          <w:bCs w:val="0"/>
          <w:i w:val="0"/>
          <w:iCs w:val="0"/>
          <w:sz w:val="22"/>
          <w:szCs w:val="22"/>
          <w:rtl w:val="0"/>
        </w:rPr>
        <w:t xml:space="preserve">(2), 66–75. https://doi.org/10.1080/15210960.2025.2558492</w:t>
      </w:r>
      <w:r w:rsidDel="00000000" w:rsidR="00000000" w:rsidRPr="00000000">
        <w:rPr>
          <w:rtl w:val="0"/>
        </w:rPr>
      </w:r>
    </w:p>
    <w:p w:rsidR="00000000" w:rsidDel="00000000" w:rsidP="00000000" w:rsidRDefault="00000000" w:rsidRPr="00000000" w14:paraId="00000072">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Crenshaw, K. (1989). Demarginalizing the intersection of race and sex: A Black feminist critique of antidiscrimination doctrine, feminist theory and antiracist politics. </w:t>
      </w:r>
      <w:r w:rsidDel="00000000" w:rsidR="00000000" w:rsidRPr="00000000">
        <w:rPr>
          <w:rFonts w:ascii="Calibri" w:cs="Calibri" w:eastAsia="Calibri" w:hAnsi="Calibri"/>
          <w:b w:val="0"/>
          <w:bCs w:val="0"/>
          <w:i w:val="1"/>
          <w:iCs w:val="1"/>
          <w:sz w:val="22"/>
          <w:szCs w:val="22"/>
          <w:rtl w:val="0"/>
        </w:rPr>
        <w:t xml:space="preserve">University of Chicago Legal Forum, 1989</w:t>
      </w:r>
      <w:r w:rsidDel="00000000" w:rsidR="00000000" w:rsidRPr="00000000">
        <w:rPr>
          <w:rFonts w:ascii="Calibri" w:cs="Calibri" w:eastAsia="Calibri" w:hAnsi="Calibri"/>
          <w:b w:val="0"/>
          <w:bCs w:val="0"/>
          <w:i w:val="0"/>
          <w:iCs w:val="0"/>
          <w:sz w:val="22"/>
          <w:szCs w:val="22"/>
          <w:rtl w:val="0"/>
        </w:rPr>
        <w:t xml:space="preserve">(1), 139–167.</w:t>
      </w:r>
      <w:r w:rsidDel="00000000" w:rsidR="00000000" w:rsidRPr="00000000">
        <w:rPr>
          <w:rtl w:val="0"/>
        </w:rPr>
      </w:r>
    </w:p>
    <w:p w:rsidR="00000000" w:rsidDel="00000000" w:rsidP="00000000" w:rsidRDefault="00000000" w:rsidRPr="00000000" w14:paraId="00000073">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de la Peña, C. (2010). The history of technology, the resistance of archives, and the whiteness of race. </w:t>
      </w:r>
      <w:r w:rsidDel="00000000" w:rsidR="00000000" w:rsidRPr="00000000">
        <w:rPr>
          <w:rFonts w:ascii="Calibri" w:cs="Calibri" w:eastAsia="Calibri" w:hAnsi="Calibri"/>
          <w:b w:val="0"/>
          <w:bCs w:val="0"/>
          <w:i w:val="1"/>
          <w:iCs w:val="1"/>
          <w:sz w:val="22"/>
          <w:szCs w:val="22"/>
          <w:rtl w:val="0"/>
        </w:rPr>
        <w:t xml:space="preserve">Technology and Culture, 51</w:t>
      </w:r>
      <w:r w:rsidDel="00000000" w:rsidR="00000000" w:rsidRPr="00000000">
        <w:rPr>
          <w:rFonts w:ascii="Calibri" w:cs="Calibri" w:eastAsia="Calibri" w:hAnsi="Calibri"/>
          <w:b w:val="0"/>
          <w:bCs w:val="0"/>
          <w:i w:val="0"/>
          <w:iCs w:val="0"/>
          <w:sz w:val="22"/>
          <w:szCs w:val="22"/>
          <w:rtl w:val="0"/>
        </w:rPr>
        <w:t xml:space="preserve">(4), 919–937. https://doi.org/10.1353/tech.2010.0064</w:t>
      </w:r>
      <w:r w:rsidDel="00000000" w:rsidR="00000000" w:rsidRPr="00000000">
        <w:rPr>
          <w:rtl w:val="0"/>
        </w:rPr>
      </w:r>
    </w:p>
    <w:p w:rsidR="00000000" w:rsidDel="00000000" w:rsidP="00000000" w:rsidRDefault="00000000" w:rsidRPr="00000000" w14:paraId="00000074">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Hollanek, T., &amp; Nowaczyk-Basińska, K. (2024). Griefbots, deadbots, postmortem avatars: On responsible applications of generative AI in the digital afterlife industry. </w:t>
      </w:r>
      <w:r w:rsidDel="00000000" w:rsidR="00000000" w:rsidRPr="00000000">
        <w:rPr>
          <w:rFonts w:ascii="Calibri" w:cs="Calibri" w:eastAsia="Calibri" w:hAnsi="Calibri"/>
          <w:b w:val="0"/>
          <w:bCs w:val="0"/>
          <w:i w:val="1"/>
          <w:iCs w:val="1"/>
          <w:sz w:val="22"/>
          <w:szCs w:val="22"/>
          <w:rtl w:val="0"/>
        </w:rPr>
        <w:t xml:space="preserve">Philosophy &amp; Technology, 37</w:t>
      </w:r>
      <w:r w:rsidDel="00000000" w:rsidR="00000000" w:rsidRPr="00000000">
        <w:rPr>
          <w:rFonts w:ascii="Calibri" w:cs="Calibri" w:eastAsia="Calibri" w:hAnsi="Calibri"/>
          <w:b w:val="0"/>
          <w:bCs w:val="0"/>
          <w:i w:val="0"/>
          <w:iCs w:val="0"/>
          <w:sz w:val="22"/>
          <w:szCs w:val="22"/>
          <w:rtl w:val="0"/>
        </w:rPr>
        <w:t xml:space="preserve">(2). https://doi.org/10.1007/s13347-024-00744-w</w:t>
      </w:r>
      <w:r w:rsidDel="00000000" w:rsidR="00000000" w:rsidRPr="00000000">
        <w:rPr>
          <w:rtl w:val="0"/>
        </w:rPr>
      </w:r>
    </w:p>
    <w:p w:rsidR="00000000" w:rsidDel="00000000" w:rsidP="00000000" w:rsidRDefault="00000000" w:rsidRPr="00000000" w14:paraId="00000075">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Lehrman v. Lovo, Inc., 24-CV-3770 (JPO) (S.D.N.Y. July 10, 2025).</w:t>
      </w:r>
      <w:r w:rsidDel="00000000" w:rsidR="00000000" w:rsidRPr="00000000">
        <w:rPr>
          <w:rtl w:val="0"/>
        </w:rPr>
      </w:r>
    </w:p>
    <w:p w:rsidR="00000000" w:rsidDel="00000000" w:rsidP="00000000" w:rsidRDefault="00000000" w:rsidRPr="00000000" w14:paraId="00000076">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Li, Z., Wang, Z., Wang, W., Hung, K., Xie, H., &amp; Wang, F. L. (2025). Retrieval-augmented generation for educational application: A systematic survey. </w:t>
      </w:r>
      <w:r w:rsidDel="00000000" w:rsidR="00000000" w:rsidRPr="00000000">
        <w:rPr>
          <w:rFonts w:ascii="Calibri" w:cs="Calibri" w:eastAsia="Calibri" w:hAnsi="Calibri"/>
          <w:b w:val="0"/>
          <w:bCs w:val="0"/>
          <w:i w:val="1"/>
          <w:iCs w:val="1"/>
          <w:sz w:val="22"/>
          <w:szCs w:val="22"/>
          <w:rtl w:val="0"/>
        </w:rPr>
        <w:t xml:space="preserve">Computers and Education: Artificial Intelligence, 8</w:t>
      </w:r>
      <w:r w:rsidDel="00000000" w:rsidR="00000000" w:rsidRPr="00000000">
        <w:rPr>
          <w:rFonts w:ascii="Calibri" w:cs="Calibri" w:eastAsia="Calibri" w:hAnsi="Calibri"/>
          <w:b w:val="0"/>
          <w:bCs w:val="0"/>
          <w:i w:val="0"/>
          <w:iCs w:val="0"/>
          <w:sz w:val="22"/>
          <w:szCs w:val="22"/>
          <w:rtl w:val="0"/>
        </w:rPr>
        <w:t xml:space="preserve">, Article 100417. https://doi.org/10.1016/j.caeai.2025.100417</w:t>
      </w:r>
      <w:r w:rsidDel="00000000" w:rsidR="00000000" w:rsidRPr="00000000">
        <w:rPr>
          <w:rtl w:val="0"/>
        </w:rPr>
      </w:r>
    </w:p>
    <w:p w:rsidR="00000000" w:rsidDel="00000000" w:rsidP="00000000" w:rsidRDefault="00000000" w:rsidRPr="00000000" w14:paraId="00000077">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Martin, M. G. (2022). </w:t>
      </w:r>
      <w:r w:rsidDel="00000000" w:rsidR="00000000" w:rsidRPr="00000000">
        <w:rPr>
          <w:rFonts w:ascii="Calibri" w:cs="Calibri" w:eastAsia="Calibri" w:hAnsi="Calibri"/>
          <w:b w:val="0"/>
          <w:bCs w:val="0"/>
          <w:i w:val="1"/>
          <w:iCs w:val="1"/>
          <w:sz w:val="22"/>
          <w:szCs w:val="22"/>
          <w:rtl w:val="0"/>
        </w:rPr>
        <w:t xml:space="preserve">The fourth industrial superintendent: A case study of equitable inquiry-based learning through the lens of Sinclair's technology and marginalized communities framework</w:t>
      </w:r>
      <w:r w:rsidDel="00000000" w:rsidR="00000000" w:rsidRPr="00000000">
        <w:rPr>
          <w:rFonts w:ascii="Calibri" w:cs="Calibri" w:eastAsia="Calibri" w:hAnsi="Calibri"/>
          <w:b w:val="0"/>
          <w:bCs w:val="0"/>
          <w:i w:val="0"/>
          <w:iCs w:val="0"/>
          <w:sz w:val="22"/>
          <w:szCs w:val="22"/>
          <w:rtl w:val="0"/>
        </w:rPr>
        <w:t xml:space="preserve"> [Doctoral dissertation, University of Southern California].</w:t>
      </w:r>
      <w:r w:rsidDel="00000000" w:rsidR="00000000" w:rsidRPr="00000000">
        <w:rPr>
          <w:rtl w:val="0"/>
        </w:rPr>
      </w:r>
    </w:p>
    <w:p w:rsidR="00000000" w:rsidDel="00000000" w:rsidP="00000000" w:rsidRDefault="00000000" w:rsidRPr="00000000" w14:paraId="00000078">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Morgan, H. (2024). Ethnic studies programs in America: Exploring the past to understand today’s debates. </w:t>
      </w:r>
      <w:r w:rsidDel="00000000" w:rsidR="00000000" w:rsidRPr="00000000">
        <w:rPr>
          <w:rFonts w:ascii="Calibri" w:cs="Calibri" w:eastAsia="Calibri" w:hAnsi="Calibri"/>
          <w:b w:val="0"/>
          <w:bCs w:val="0"/>
          <w:i w:val="1"/>
          <w:iCs w:val="1"/>
          <w:sz w:val="22"/>
          <w:szCs w:val="22"/>
          <w:rtl w:val="0"/>
        </w:rPr>
        <w:t xml:space="preserve">Policy Futures in Education</w:t>
      </w:r>
      <w:r w:rsidDel="00000000" w:rsidR="00000000" w:rsidRPr="00000000">
        <w:rPr>
          <w:rFonts w:ascii="Calibri" w:cs="Calibri" w:eastAsia="Calibri" w:hAnsi="Calibri"/>
          <w:b w:val="0"/>
          <w:bCs w:val="0"/>
          <w:i w:val="0"/>
          <w:iCs w:val="0"/>
          <w:sz w:val="22"/>
          <w:szCs w:val="22"/>
          <w:rtl w:val="0"/>
        </w:rPr>
        <w:t xml:space="preserve">. https://doi.org/10.1177/14782103241229528</w:t>
      </w:r>
      <w:r w:rsidDel="00000000" w:rsidR="00000000" w:rsidRPr="00000000">
        <w:rPr>
          <w:rtl w:val="0"/>
        </w:rPr>
      </w:r>
    </w:p>
    <w:p w:rsidR="00000000" w:rsidDel="00000000" w:rsidP="00000000" w:rsidRDefault="00000000" w:rsidRPr="00000000" w14:paraId="00000079">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Sharma, T., Zhou, Y., &amp; Berisha, V. (2025). PRAC3 (Privacy, Reputation, Accountability, Consent, Credit, Compensation): Voice actors in AI data-economy. </w:t>
      </w:r>
      <w:r w:rsidDel="00000000" w:rsidR="00000000" w:rsidRPr="00000000">
        <w:rPr>
          <w:rFonts w:ascii="Calibri" w:cs="Calibri" w:eastAsia="Calibri" w:hAnsi="Calibri"/>
          <w:b w:val="0"/>
          <w:bCs w:val="0"/>
          <w:i w:val="1"/>
          <w:iCs w:val="1"/>
          <w:sz w:val="22"/>
          <w:szCs w:val="22"/>
          <w:rtl w:val="0"/>
        </w:rPr>
        <w:t xml:space="preserve">Proceedings of the AAAI/ACM Conference on AI, Ethics, and Society, 8</w:t>
      </w:r>
      <w:r w:rsidDel="00000000" w:rsidR="00000000" w:rsidRPr="00000000">
        <w:rPr>
          <w:rFonts w:ascii="Calibri" w:cs="Calibri" w:eastAsia="Calibri" w:hAnsi="Calibri"/>
          <w:b w:val="0"/>
          <w:bCs w:val="0"/>
          <w:i w:val="0"/>
          <w:iCs w:val="0"/>
          <w:sz w:val="22"/>
          <w:szCs w:val="22"/>
          <w:rtl w:val="0"/>
        </w:rPr>
        <w:t xml:space="preserve">(3). https://doi.org/10.1609/aies.v8i3.36721</w:t>
      </w:r>
      <w:r w:rsidDel="00000000" w:rsidR="00000000" w:rsidRPr="00000000">
        <w:rPr>
          <w:rtl w:val="0"/>
        </w:rPr>
      </w:r>
    </w:p>
    <w:p w:rsidR="00000000" w:rsidDel="00000000" w:rsidP="00000000" w:rsidRDefault="00000000" w:rsidRPr="00000000" w14:paraId="0000007A">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Swacha, J., &amp; Gracel, M. (2025). Retrieval-augmented generation (RAG) chatbots for education: A survey of applications. </w:t>
      </w:r>
      <w:r w:rsidDel="00000000" w:rsidR="00000000" w:rsidRPr="00000000">
        <w:rPr>
          <w:rFonts w:ascii="Calibri" w:cs="Calibri" w:eastAsia="Calibri" w:hAnsi="Calibri"/>
          <w:b w:val="0"/>
          <w:bCs w:val="0"/>
          <w:i w:val="1"/>
          <w:iCs w:val="1"/>
          <w:sz w:val="22"/>
          <w:szCs w:val="22"/>
          <w:rtl w:val="0"/>
        </w:rPr>
        <w:t xml:space="preserve">Applied Sciences, 15</w:t>
      </w:r>
      <w:r w:rsidDel="00000000" w:rsidR="00000000" w:rsidRPr="00000000">
        <w:rPr>
          <w:rFonts w:ascii="Calibri" w:cs="Calibri" w:eastAsia="Calibri" w:hAnsi="Calibri"/>
          <w:b w:val="0"/>
          <w:bCs w:val="0"/>
          <w:i w:val="0"/>
          <w:iCs w:val="0"/>
          <w:sz w:val="22"/>
          <w:szCs w:val="22"/>
          <w:rtl w:val="0"/>
        </w:rPr>
        <w:t xml:space="preserve">(8), Article 4234. https://doi.org/10.3390/app15084234</w:t>
      </w:r>
      <w:r w:rsidDel="00000000" w:rsidR="00000000" w:rsidRPr="00000000">
        <w:rPr>
          <w:rtl w:val="0"/>
        </w:rPr>
      </w:r>
    </w:p>
    <w:p w:rsidR="00000000" w:rsidDel="00000000" w:rsidP="00000000" w:rsidRDefault="00000000" w:rsidRPr="00000000" w14:paraId="0000007B">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Sinclair, B. (1998). Integrating the histories of race and technology. In B. Sinclair (Ed.), </w:t>
      </w:r>
      <w:r w:rsidDel="00000000" w:rsidR="00000000" w:rsidRPr="00000000">
        <w:rPr>
          <w:rFonts w:ascii="Calibri" w:cs="Calibri" w:eastAsia="Calibri" w:hAnsi="Calibri"/>
          <w:b w:val="0"/>
          <w:bCs w:val="0"/>
          <w:i w:val="1"/>
          <w:iCs w:val="1"/>
          <w:sz w:val="22"/>
          <w:szCs w:val="22"/>
          <w:rtl w:val="0"/>
        </w:rPr>
        <w:t xml:space="preserve">Technology and the African-American experience: Needs and opportunities for study</w:t>
      </w:r>
      <w:r w:rsidDel="00000000" w:rsidR="00000000" w:rsidRPr="00000000">
        <w:rPr>
          <w:rFonts w:ascii="Calibri" w:cs="Calibri" w:eastAsia="Calibri" w:hAnsi="Calibri"/>
          <w:b w:val="0"/>
          <w:bCs w:val="0"/>
          <w:i w:val="0"/>
          <w:iCs w:val="0"/>
          <w:sz w:val="22"/>
          <w:szCs w:val="22"/>
          <w:rtl w:val="0"/>
        </w:rPr>
        <w:t xml:space="preserve"> (pp. 1–17). MIT Press.</w:t>
      </w:r>
      <w:r w:rsidDel="00000000" w:rsidR="00000000" w:rsidRPr="00000000">
        <w:rPr>
          <w:rtl w:val="0"/>
        </w:rPr>
      </w:r>
    </w:p>
    <w:p w:rsidR="00000000" w:rsidDel="00000000" w:rsidP="00000000" w:rsidRDefault="00000000" w:rsidRPr="00000000" w14:paraId="0000007C">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UNESCO. (2025). </w:t>
      </w:r>
      <w:r w:rsidDel="00000000" w:rsidR="00000000" w:rsidRPr="00000000">
        <w:rPr>
          <w:rFonts w:ascii="Calibri" w:cs="Calibri" w:eastAsia="Calibri" w:hAnsi="Calibri"/>
          <w:b w:val="0"/>
          <w:bCs w:val="0"/>
          <w:i w:val="1"/>
          <w:iCs w:val="1"/>
          <w:sz w:val="22"/>
          <w:szCs w:val="22"/>
          <w:rtl w:val="0"/>
        </w:rPr>
        <w:t xml:space="preserve">Report of the Independent Expert Group on Artificial Intelligence and Culture</w:t>
      </w:r>
      <w:r w:rsidDel="00000000" w:rsidR="00000000" w:rsidRPr="00000000">
        <w:rPr>
          <w:rFonts w:ascii="Calibri" w:cs="Calibri" w:eastAsia="Calibri" w:hAnsi="Calibri"/>
          <w:b w:val="0"/>
          <w:bCs w:val="0"/>
          <w:i w:val="0"/>
          <w:iCs w:val="0"/>
          <w:sz w:val="22"/>
          <w:szCs w:val="22"/>
          <w:rtl w:val="0"/>
        </w:rPr>
        <w:t xml:space="preserve">. United Nations Educational, Scientific and Cultural Organization.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vpsmx5eA+dMeQOVMayww5WjRQ==">CgMxLjA4AHIhMTF4OUtvZWFOYlBldWE3LW9yV1VJdDI4VVluRGNCX1NZ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